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pacing w:before="0" w:after="322"/>
        <w:jc w:val="center"/>
        <w:rPr>
          <w:rFonts w:ascii="Times New Roman" w:hAnsi="Times New Roman" w:eastAsia="Times New Roman" w:cs="Times New Roman"/>
          <w:b/>
          <w:bCs/>
          <w:kern w:val="0"/>
          <w:sz w:val="48"/>
          <w:szCs w:val="48"/>
        </w:rPr>
      </w:pPr>
      <w:bookmarkStart w:id="0" w:name="a000"/>
      <w:r>
        <w:rPr>
          <w:rFonts w:ascii="Times New Roman" w:hAnsi="Times New Roman" w:eastAsia="Times New Roman" w:cs="Times New Roman"/>
          <w:b/>
          <w:bCs/>
          <w:color w:val="auto"/>
          <w:kern w:val="36"/>
          <w:sz w:val="48"/>
          <w:szCs w:val="48"/>
        </w:rPr>
        <w:t>2023</w:t>
      </w:r>
      <w:r>
        <w:rPr>
          <w:rFonts w:ascii="宋体" w:hAnsi="宋体" w:eastAsia="宋体" w:cs="宋体"/>
          <w:b/>
          <w:bCs/>
          <w:color w:val="auto"/>
          <w:kern w:val="36"/>
          <w:sz w:val="48"/>
          <w:szCs w:val="48"/>
        </w:rPr>
        <w:t>年度部门决算分析报告</w:t>
      </w:r>
    </w:p>
    <w:p>
      <w:pPr>
        <w:widowControl/>
        <w:spacing w:before="240" w:after="240"/>
        <w:jc w:val="left"/>
        <w:rPr>
          <w:rFonts w:ascii="Times New Roman" w:hAnsi="Times New Roman" w:eastAsia="Times New Roman" w:cs="Times New Roman"/>
          <w:kern w:val="0"/>
          <w:sz w:val="24"/>
          <w:szCs w:val="24"/>
        </w:rPr>
      </w:pPr>
    </w:p>
    <w:p>
      <w:pPr>
        <w:pStyle w:val="3"/>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b/>
          <w:bCs/>
          <w:color w:val="auto"/>
          <w:kern w:val="0"/>
          <w:sz w:val="36"/>
          <w:szCs w:val="36"/>
        </w:rPr>
        <w:t>一、单位情况</w:t>
      </w:r>
    </w:p>
    <w:p>
      <w:pPr>
        <w:pStyle w:val="4"/>
        <w:keepNext w:val="0"/>
        <w:keepLines w:val="0"/>
        <w:widowControl/>
        <w:spacing w:before="281" w:after="281"/>
        <w:jc w:val="left"/>
        <w:rPr>
          <w:rFonts w:ascii="Times New Roman" w:hAnsi="Times New Roman" w:eastAsia="Times New Roman" w:cs="Times New Roman"/>
          <w:kern w:val="0"/>
          <w:sz w:val="24"/>
          <w:szCs w:val="24"/>
        </w:rPr>
      </w:pPr>
      <w:r>
        <w:rPr>
          <w:rFonts w:ascii="Times New Roman" w:hAnsi="Times New Roman" w:eastAsia="Times New Roman" w:cs="Times New Roman"/>
          <w:b/>
          <w:bCs/>
          <w:color w:val="auto"/>
          <w:kern w:val="0"/>
          <w:sz w:val="28"/>
          <w:szCs w:val="28"/>
        </w:rPr>
        <w:t>       </w:t>
      </w:r>
      <w:r>
        <w:rPr>
          <w:rFonts w:ascii="宋体" w:hAnsi="宋体" w:eastAsia="宋体" w:cs="宋体"/>
          <w:b/>
          <w:bCs/>
          <w:color w:val="auto"/>
          <w:kern w:val="0"/>
          <w:sz w:val="28"/>
          <w:szCs w:val="28"/>
        </w:rPr>
        <w:t>（一）基本情况</w:t>
      </w:r>
      <w:r>
        <w:rPr>
          <w:rFonts w:ascii="Times New Roman" w:hAnsi="Times New Roman" w:eastAsia="Times New Roman" w:cs="Times New Roman"/>
          <w:kern w:val="0"/>
          <w:sz w:val="24"/>
          <w:szCs w:val="24"/>
        </w:rPr>
        <w:t xml:space="preserve">  </w:t>
      </w:r>
    </w:p>
    <w:p>
      <w:pPr>
        <w:pStyle w:val="4"/>
        <w:keepNext w:val="0"/>
        <w:keepLines w:val="0"/>
        <w:widowControl/>
        <w:spacing w:before="281" w:after="281"/>
        <w:jc w:val="left"/>
        <w:rPr>
          <w:rFonts w:ascii="宋体" w:hAnsi="宋体" w:eastAsia="宋体" w:cs="宋体"/>
          <w:kern w:val="0"/>
          <w:sz w:val="24"/>
          <w:szCs w:val="24"/>
        </w:rPr>
      </w:pPr>
      <w:r>
        <w:rPr>
          <w:rFonts w:ascii="Times New Roman" w:hAnsi="Times New Roman" w:eastAsia="Times New Roman" w:cs="Times New Roman"/>
          <w:kern w:val="0"/>
          <w:sz w:val="24"/>
          <w:szCs w:val="24"/>
        </w:rPr>
        <w:t xml:space="preserve"> 1</w:t>
      </w:r>
      <w:r>
        <w:rPr>
          <w:rFonts w:ascii="宋体" w:hAnsi="宋体" w:eastAsia="宋体" w:cs="宋体"/>
          <w:kern w:val="0"/>
          <w:sz w:val="24"/>
          <w:szCs w:val="24"/>
        </w:rPr>
        <w:t>．主要职能。</w:t>
      </w:r>
    </w:p>
    <w:p>
      <w:pPr>
        <w:pStyle w:val="4"/>
        <w:keepNext w:val="0"/>
        <w:keepLines w:val="0"/>
        <w:widowControl/>
        <w:spacing w:before="281" w:after="281"/>
        <w:jc w:val="left"/>
        <w:rPr>
          <w:rFonts w:ascii="宋体" w:hAnsi="宋体" w:eastAsia="宋体" w:cs="宋体"/>
          <w:kern w:val="0"/>
          <w:sz w:val="24"/>
          <w:szCs w:val="24"/>
        </w:rPr>
      </w:pP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是</w:t>
      </w:r>
      <w:r>
        <w:rPr>
          <w:rFonts w:ascii="宋体" w:hAnsi="宋体" w:eastAsia="宋体" w:cs="宋体"/>
          <w:kern w:val="0"/>
          <w:sz w:val="24"/>
          <w:szCs w:val="24"/>
        </w:rPr>
        <w:t>压实管党治党责任。</w:t>
      </w:r>
      <w:r>
        <w:rPr>
          <w:rFonts w:hint="eastAsia" w:ascii="宋体" w:hAnsi="宋体" w:eastAsia="宋体" w:cs="宋体"/>
          <w:kern w:val="0"/>
          <w:sz w:val="24"/>
          <w:szCs w:val="24"/>
        </w:rPr>
        <w:t>认真</w:t>
      </w:r>
      <w:r>
        <w:rPr>
          <w:rFonts w:ascii="宋体" w:hAnsi="宋体" w:eastAsia="宋体" w:cs="宋体"/>
          <w:kern w:val="0"/>
          <w:sz w:val="24"/>
          <w:szCs w:val="24"/>
        </w:rPr>
        <w:t>履行</w:t>
      </w:r>
      <w:r>
        <w:rPr>
          <w:rFonts w:hint="eastAsia" w:ascii="宋体" w:hAnsi="宋体" w:eastAsia="宋体" w:cs="宋体"/>
          <w:kern w:val="0"/>
          <w:sz w:val="24"/>
          <w:szCs w:val="24"/>
        </w:rPr>
        <w:t>第一责任人职责</w:t>
      </w:r>
      <w:r>
        <w:rPr>
          <w:rFonts w:ascii="宋体" w:hAnsi="宋体" w:eastAsia="宋体" w:cs="宋体"/>
          <w:kern w:val="0"/>
          <w:sz w:val="24"/>
          <w:szCs w:val="24"/>
        </w:rPr>
        <w:t>，</w:t>
      </w:r>
      <w:r>
        <w:rPr>
          <w:rFonts w:hint="eastAsia" w:ascii="宋体" w:hAnsi="宋体" w:eastAsia="宋体" w:cs="宋体"/>
          <w:kern w:val="0"/>
          <w:sz w:val="24"/>
          <w:szCs w:val="24"/>
        </w:rPr>
        <w:t>坚持把党建工作与业务工作同部署、同落实，严格落实“第一议题”制度，全年组织开展中心组学习会议</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次，专题研讨</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次，主题党日活动11次，带头讲党课4次，深入贯彻习近平总书记系列重要讲话精神特别是对内蒙古重要讲话重要指示批示精神，充分激发红十字办好“两件大事”的责任感使命感。二是纵深推进主题教育。结合5项重点措施制定学习计划、明确学习内容、完善档案整理，紧密结合红十字职能职责，主动承诺践诺，带头开展调研走访3次，推动整改问题1个。融入开展“感党恩、听党话、跟党走”群众教育实践活动，通过党员干部讲给群众听，分层次、全方面讲清党的惠民政策。三是认真抓好意识形态工作。充分运用意识形态工作专题研讨会、节前廉政谈话会议学习意识形态5次、专题测试1次、完成研判报告4篇，全年未出现重大舆情舆论事件。不断创新宣传方式，讲好红十字故事，传播好红十字声音，广泛传播社会正能量。</w:t>
      </w:r>
    </w:p>
    <w:tbl>
      <w:tblPr>
        <w:tblStyle w:val="10"/>
        <w:tblpPr w:leftFromText="180" w:rightFromText="180" w:vertAnchor="text" w:horzAnchor="page" w:tblpX="1532" w:tblpY="19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616"/>
        <w:gridCol w:w="2616"/>
        <w:gridCol w:w="1341"/>
        <w:gridCol w:w="779"/>
      </w:tblGrid>
      <w:tr>
        <w:tblPrEx>
          <w:shd w:val="clear" w:color="auto" w:fill="auto"/>
          <w:tblCellMar>
            <w:top w:w="0" w:type="dxa"/>
            <w:left w:w="108" w:type="dxa"/>
            <w:bottom w:w="0" w:type="dxa"/>
            <w:right w:w="108" w:type="dxa"/>
          </w:tblCellMar>
        </w:tblPrEx>
        <w:trPr>
          <w:trHeight w:val="620" w:hRule="atLeast"/>
        </w:trPr>
        <w:tc>
          <w:tcPr>
            <w:tcW w:w="0" w:type="auto"/>
            <w:tcBorders>
              <w:top w:val="single" w:color="000000" w:sz="8" w:space="0"/>
              <w:left w:val="single" w:color="000000" w:sz="8" w:space="0"/>
              <w:bottom w:val="single" w:color="000000" w:sz="8" w:space="0"/>
              <w:right w:val="single" w:color="000000" w:sz="8" w:space="0"/>
            </w:tcBorders>
            <w:shd w:val="clear" w:color="auto" w:fill="5B9BD5"/>
            <w:noWrap/>
            <w:vAlign w:val="center"/>
          </w:tcPr>
          <w:p>
            <w:pPr>
              <w:keepNext w:val="0"/>
              <w:keepLines w:val="0"/>
              <w:widowControl/>
              <w:suppressLineNumbers w:val="0"/>
              <w:jc w:val="left"/>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5B9BD5"/>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独立核算单位名称</w:t>
            </w:r>
          </w:p>
        </w:tc>
        <w:tc>
          <w:tcPr>
            <w:tcW w:w="0" w:type="auto"/>
            <w:tcBorders>
              <w:top w:val="single" w:color="000000" w:sz="8" w:space="0"/>
              <w:left w:val="nil"/>
              <w:bottom w:val="single" w:color="000000" w:sz="8" w:space="0"/>
              <w:right w:val="single" w:color="000000" w:sz="8" w:space="0"/>
            </w:tcBorders>
            <w:shd w:val="clear" w:color="auto" w:fill="5B9BD5"/>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编制机构名称</w:t>
            </w:r>
          </w:p>
        </w:tc>
        <w:tc>
          <w:tcPr>
            <w:tcW w:w="0" w:type="auto"/>
            <w:tcBorders>
              <w:top w:val="single" w:color="000000" w:sz="8" w:space="0"/>
              <w:left w:val="nil"/>
              <w:bottom w:val="single" w:color="000000" w:sz="8" w:space="0"/>
              <w:right w:val="single" w:color="000000" w:sz="8" w:space="0"/>
            </w:tcBorders>
            <w:shd w:val="clear" w:color="auto" w:fill="5B9BD5"/>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编制类型</w:t>
            </w:r>
          </w:p>
        </w:tc>
        <w:tc>
          <w:tcPr>
            <w:tcW w:w="0" w:type="auto"/>
            <w:tcBorders>
              <w:top w:val="single" w:color="000000" w:sz="8" w:space="0"/>
              <w:left w:val="nil"/>
              <w:bottom w:val="single" w:color="000000" w:sz="8" w:space="0"/>
              <w:right w:val="single" w:color="000000" w:sz="8" w:space="0"/>
            </w:tcBorders>
            <w:shd w:val="clear" w:color="auto" w:fill="5B9BD5"/>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8" w:space="0"/>
              <w:bottom w:val="single" w:color="000000" w:sz="8" w:space="0"/>
              <w:right w:val="single" w:color="000000" w:sz="8" w:space="0"/>
            </w:tcBorders>
            <w:shd w:val="clear" w:color="auto" w:fill="DDEBF7"/>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6"/>
                <w:lang w:val="en-US" w:eastAsia="zh-CN" w:bidi="ar"/>
              </w:rPr>
              <w:t>乌海市乌达区红十字会</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6"/>
                <w:lang w:val="en-US" w:eastAsia="zh-CN" w:bidi="ar"/>
              </w:rPr>
              <w:t>乌海市乌达区红十字会</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w:t>
            </w:r>
          </w:p>
        </w:tc>
        <w:tc>
          <w:tcPr>
            <w:tcW w:w="0" w:type="auto"/>
            <w:tcBorders>
              <w:top w:val="nil"/>
              <w:left w:val="nil"/>
              <w:bottom w:val="single" w:color="000000" w:sz="8" w:space="0"/>
              <w:right w:val="single" w:color="000000" w:sz="8" w:space="0"/>
            </w:tcBorders>
            <w:shd w:val="clear" w:color="auto" w:fill="auto"/>
            <w:vAlign w:val="center"/>
          </w:tcPr>
          <w:p>
            <w:pPr>
              <w:jc w:val="left"/>
              <w:rPr>
                <w:rFonts w:hint="eastAsia" w:ascii="仿宋" w:hAnsi="仿宋" w:eastAsia="仿宋" w:cs="仿宋"/>
                <w:i w:val="0"/>
                <w:iCs w:val="0"/>
                <w:color w:val="000000"/>
                <w:sz w:val="28"/>
                <w:szCs w:val="28"/>
                <w:u w:val="none"/>
              </w:rPr>
            </w:pPr>
          </w:p>
        </w:tc>
      </w:tr>
    </w:tbl>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2</w:t>
      </w:r>
      <w:r>
        <w:rPr>
          <w:rFonts w:ascii="宋体" w:hAnsi="宋体" w:eastAsia="宋体" w:cs="宋体"/>
          <w:kern w:val="0"/>
          <w:sz w:val="24"/>
          <w:szCs w:val="24"/>
        </w:rPr>
        <w:t>．机构情况：本单位乌海市乌达区红十字会，二级预算单位，报表类型为：单户表。</w:t>
      </w: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w:t>
      </w: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3</w:t>
      </w:r>
      <w:r>
        <w:rPr>
          <w:rFonts w:ascii="宋体" w:hAnsi="宋体" w:eastAsia="宋体" w:cs="宋体"/>
          <w:kern w:val="0"/>
          <w:sz w:val="24"/>
          <w:szCs w:val="24"/>
        </w:rPr>
        <w:t>．人员情况：年末独立核算机构数：</w:t>
      </w:r>
      <w:r>
        <w:rPr>
          <w:rFonts w:ascii="Times New Roman" w:hAnsi="Times New Roman" w:eastAsia="Times New Roman" w:cs="Times New Roman"/>
          <w:kern w:val="0"/>
          <w:sz w:val="24"/>
          <w:szCs w:val="24"/>
        </w:rPr>
        <w:t xml:space="preserve">1 </w:t>
      </w:r>
      <w:r>
        <w:rPr>
          <w:rFonts w:ascii="宋体" w:hAnsi="宋体" w:eastAsia="宋体" w:cs="宋体"/>
          <w:kern w:val="0"/>
          <w:sz w:val="24"/>
          <w:szCs w:val="24"/>
        </w:rPr>
        <w:t>个，在职人员：</w:t>
      </w:r>
      <w:r>
        <w:rPr>
          <w:rFonts w:ascii="Times New Roman" w:hAnsi="Times New Roman" w:eastAsia="Times New Roman" w:cs="Times New Roman"/>
          <w:kern w:val="0"/>
          <w:sz w:val="24"/>
          <w:szCs w:val="24"/>
        </w:rPr>
        <w:t xml:space="preserve">  4 </w:t>
      </w:r>
      <w:r>
        <w:rPr>
          <w:rFonts w:ascii="宋体" w:hAnsi="宋体" w:eastAsia="宋体" w:cs="宋体"/>
          <w:kern w:val="0"/>
          <w:sz w:val="24"/>
          <w:szCs w:val="24"/>
        </w:rPr>
        <w:t>人，离休人员：</w:t>
      </w:r>
      <w:r>
        <w:rPr>
          <w:rFonts w:hint="eastAsia" w:ascii="宋体" w:hAnsi="宋体" w:eastAsia="宋体" w:cs="宋体"/>
          <w:kern w:val="0"/>
          <w:sz w:val="24"/>
          <w:szCs w:val="24"/>
          <w:lang w:val="en-US" w:eastAsia="zh-CN"/>
        </w:rPr>
        <w:t>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人，退休人员：</w:t>
      </w:r>
      <w:r>
        <w:rPr>
          <w:rFonts w:ascii="Times New Roman" w:hAnsi="Times New Roman" w:eastAsia="Times New Roman" w:cs="Times New Roman"/>
          <w:kern w:val="0"/>
          <w:sz w:val="24"/>
          <w:szCs w:val="24"/>
        </w:rPr>
        <w:t xml:space="preserve"> 1  </w:t>
      </w:r>
      <w:r>
        <w:rPr>
          <w:rFonts w:ascii="宋体" w:hAnsi="宋体" w:eastAsia="宋体" w:cs="宋体"/>
          <w:kern w:val="0"/>
          <w:sz w:val="24"/>
          <w:szCs w:val="24"/>
        </w:rPr>
        <w:t>人，实有人数</w:t>
      </w:r>
      <w:r>
        <w:rPr>
          <w:rFonts w:ascii="Times New Roman" w:hAnsi="Times New Roman" w:eastAsia="Times New Roman" w:cs="Times New Roman"/>
          <w:kern w:val="0"/>
          <w:sz w:val="24"/>
          <w:szCs w:val="24"/>
        </w:rPr>
        <w:t>_</w:t>
      </w:r>
      <w:r>
        <w:rPr>
          <w:rFonts w:ascii="宋体" w:hAnsi="宋体" w:eastAsia="宋体" w:cs="宋体"/>
          <w:kern w:val="0"/>
          <w:sz w:val="24"/>
          <w:szCs w:val="24"/>
        </w:rPr>
        <w:t>一般公共预算财政拨款开支人员：</w:t>
      </w:r>
      <w:r>
        <w:rPr>
          <w:rFonts w:ascii="Times New Roman" w:hAnsi="Times New Roman" w:eastAsia="Times New Roman" w:cs="Times New Roman"/>
          <w:kern w:val="0"/>
          <w:sz w:val="24"/>
          <w:szCs w:val="24"/>
        </w:rPr>
        <w:t xml:space="preserve">4   </w:t>
      </w:r>
      <w:r>
        <w:rPr>
          <w:rFonts w:ascii="宋体" w:hAnsi="宋体" w:eastAsia="宋体" w:cs="宋体"/>
          <w:kern w:val="0"/>
          <w:sz w:val="24"/>
          <w:szCs w:val="24"/>
        </w:rPr>
        <w:t>人，年末遗属人员：</w:t>
      </w:r>
      <w:r>
        <w:rPr>
          <w:rFonts w:hint="eastAsia" w:ascii="宋体" w:hAnsi="宋体" w:eastAsia="宋体" w:cs="宋体"/>
          <w:kern w:val="0"/>
          <w:sz w:val="24"/>
          <w:szCs w:val="24"/>
          <w:lang w:val="en-US" w:eastAsia="zh-CN"/>
        </w:rPr>
        <w:t>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人，</w:t>
      </w:r>
      <w:r>
        <w:rPr>
          <w:rFonts w:hint="eastAsia" w:ascii="宋体" w:hAnsi="宋体" w:eastAsia="宋体" w:cs="宋体"/>
          <w:kern w:val="0"/>
          <w:sz w:val="24"/>
          <w:szCs w:val="24"/>
          <w:lang w:val="en-US" w:eastAsia="zh-CN"/>
        </w:rPr>
        <w:t>无变动</w:t>
      </w:r>
      <w:r>
        <w:rPr>
          <w:rFonts w:ascii="宋体" w:hAnsi="宋体" w:eastAsia="宋体" w:cs="宋体"/>
          <w:kern w:val="0"/>
          <w:sz w:val="24"/>
          <w:szCs w:val="24"/>
        </w:rPr>
        <w:t>。</w:t>
      </w:r>
    </w:p>
    <w:p>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（二）当年取得的主要事业成效。</w:t>
      </w:r>
    </w:p>
    <w:p>
      <w:pPr>
        <w:spacing w:line="560" w:lineRule="exact"/>
        <w:ind w:firstLine="480" w:firstLineChars="200"/>
        <w:rPr>
          <w:rFonts w:hint="eastAsia" w:ascii="宋体" w:hAnsi="宋体" w:eastAsia="宋体" w:cs="宋体"/>
          <w:kern w:val="0"/>
          <w:sz w:val="24"/>
          <w:szCs w:val="24"/>
          <w:lang w:val="en-US" w:eastAsia="zh-CN"/>
        </w:rPr>
      </w:pPr>
      <w:r>
        <w:rPr>
          <w:rFonts w:ascii="Times New Roman" w:hAnsi="Times New Roman" w:eastAsia="Times New Roman" w:cs="Times New Roman"/>
          <w:kern w:val="0"/>
          <w:sz w:val="24"/>
          <w:szCs w:val="24"/>
        </w:rPr>
        <w:t xml:space="preserve">          </w:t>
      </w:r>
      <w:r>
        <w:rPr>
          <w:rFonts w:hint="eastAsia" w:ascii="宋体" w:hAnsi="宋体" w:eastAsia="宋体" w:cs="宋体"/>
          <w:kern w:val="0"/>
          <w:sz w:val="24"/>
          <w:szCs w:val="24"/>
        </w:rPr>
        <w:t> 一是不断提升社会认可。年度内召开理事会和监事会议，审议并通过了理事会年度工作报告、工作要点以及捐赠款物收支情况报告。对捐赠款物的接收、管理、使用、拨付、审计情况进行公示公开，通过健全完善《乌达区红十字会“三重一大”事项集体决策制度》和党组议事决策制度，规范资金使用审批程序，召开展“三重一大”会议7次，警示教育4次。对“博爱一日捐”进行专项审计，对收支管理情况每季度及时向社会公示公开。二是强化党风廉政建设。加强党员领导干部队伍管理教育，完成“一岗双责”分级抽查，常态化开展督促指导。截至目前，开展廉政谈话20余次，警示教育4次，切实提高党员干部拒腐防变能力。三是建立救助评议制度。突出人道救助的公平与公正，通过开展入户走访、民主评议、公开公示等环节，让大病和困境家庭的人道救助更加高效精准</w:t>
      </w:r>
      <w:r>
        <w:rPr>
          <w:rFonts w:hint="eastAsia" w:ascii="宋体" w:hAnsi="宋体" w:eastAsia="宋体" w:cs="宋体"/>
          <w:kern w:val="0"/>
          <w:sz w:val="24"/>
          <w:szCs w:val="24"/>
          <w:lang w:eastAsia="zh-CN"/>
        </w:rPr>
        <w:t>。</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紧盯重点任务，做强主责主业核心力</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一是宣传筹资工作。借助“红十字博爱周”和“红十字宣传月”有利契机，组织开展“</w:t>
      </w:r>
      <w:r>
        <w:rPr>
          <w:rFonts w:hint="default" w:ascii="宋体" w:hAnsi="宋体" w:eastAsia="宋体" w:cs="宋体"/>
          <w:kern w:val="0"/>
          <w:sz w:val="24"/>
          <w:szCs w:val="24"/>
        </w:rPr>
        <w:t>5</w:t>
      </w:r>
      <w:r>
        <w:rPr>
          <w:rFonts w:hint="eastAsia" w:ascii="宋体" w:hAnsi="宋体" w:eastAsia="宋体" w:cs="宋体"/>
          <w:kern w:val="0"/>
          <w:sz w:val="24"/>
          <w:szCs w:val="24"/>
        </w:rPr>
        <w:t>·</w:t>
      </w:r>
      <w:r>
        <w:rPr>
          <w:rFonts w:hint="default" w:ascii="宋体" w:hAnsi="宋体" w:eastAsia="宋体" w:cs="宋体"/>
          <w:kern w:val="0"/>
          <w:sz w:val="24"/>
          <w:szCs w:val="24"/>
        </w:rPr>
        <w:t>8</w:t>
      </w:r>
      <w:r>
        <w:rPr>
          <w:rFonts w:hint="eastAsia" w:ascii="宋体" w:hAnsi="宋体" w:eastAsia="宋体" w:cs="宋体"/>
          <w:kern w:val="0"/>
          <w:sz w:val="24"/>
          <w:szCs w:val="24"/>
        </w:rPr>
        <w:t>人道公益日”、“博爱一日捐”和99公益日等众筹活动，累计动员过万人参与募捐活动，共筹集善款达58万余元。二是“三救”工作。联合应急、镇街道、蓝天救援志愿服务队等开展救援演练活动</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持续强化群众应急救护能力。深入学校、企业、社区举办应急救护培训班15期，培训学员3136人，持续开展“博爱送万家”品牌救助活动，常态化推进“光明行”和“小天使”社会公益救助，全年人道救助投入款物22万余元，受益人数达4600余人。三是“三献”工作。扎实推进“三献”工作，抓好无偿献血与造血干细胞捐献融合发展，累计组织义务献血、采集造血干细胞活动2次，采集造血干细胞血样118人份，一例红十字志愿者成功配型，及时挽救白血病患者1名。今年，登记遗体器官捐献志愿者47人，完成遗体器官捐献1人。四是志愿服务方面。建立基层红十字会组织36个，专项志愿服务队伍5支，系统注册志愿者44人，累计参与救灾救援、无偿献血、心理援助等志愿服务活动时长近186小时。五是人道公益项目方面。推进完成22个社区应急救护角全覆盖，打造提升“博爱家园”2个，新建“红十字示范校”1个，有力助推了人道文化知识传播和应急救护知识技能的广泛普及，实现“一刻钟生活圈”、市域社会治理和新时代文明实践等工作共建共享。</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（四）抓特色强亮点，激发红会品牌新活力</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生命驿站·救在身边”。在全市首创“智慧生命驿站”，联合卫健部门创新将闲置的4个核酸采样亭改造为集急救药品、外伤处置、止血包扎、心肺复苏等功能于一体的群众生命安全“急救箱”，并配备智能化门锁、智能储物箱，丰富了一刻钟社区生活圈的内容，推进医防融合的有益实践，充分让群众感受到“急救、便捷、智能、共享”。“急救地摊·救在身边”。在全市创新开展“急救地摊”活动，持续在乌达区公园、广场等公共区域开展4场，免费给附近居民传授心肺复苏、海姆立克急救法等急救技能，切实做到“人人学急救，急救为人人”。在公园、广场等公共区域开展“急救地摊”活动4场，让应急救护成为更多群众的自觉行动。</w:t>
      </w:r>
    </w:p>
    <w:p>
      <w:pPr>
        <w:spacing w:line="560" w:lineRule="exact"/>
        <w:ind w:firstLine="480" w:firstLineChars="200"/>
        <w:rPr>
          <w:rFonts w:hint="eastAsia" w:ascii="宋体" w:hAnsi="宋体" w:eastAsia="宋体" w:cs="宋体"/>
          <w:kern w:val="0"/>
          <w:sz w:val="24"/>
          <w:szCs w:val="24"/>
        </w:rPr>
      </w:pPr>
    </w:p>
    <w:p>
      <w:pPr>
        <w:pStyle w:val="3"/>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b/>
          <w:bCs/>
          <w:color w:val="auto"/>
          <w:kern w:val="0"/>
          <w:sz w:val="36"/>
          <w:szCs w:val="36"/>
        </w:rPr>
        <w:t>二、收入支出预算执行情况分析</w:t>
      </w:r>
    </w:p>
    <w:p>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（一）收入支出预算安排情况。</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包括单位收入、支出年初预算安排情况，与上年对比情况及增减变动原因</w:t>
      </w:r>
      <w:r>
        <w:drawing>
          <wp:inline distT="0" distB="0" distL="114300" distR="114300">
            <wp:extent cx="5274310" cy="2555240"/>
            <wp:effectExtent l="4445" t="4445" r="17145" b="1206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一般公共预算财政拨款收入</w:t>
      </w:r>
      <w:r>
        <w:rPr>
          <w:rFonts w:ascii="Times New Roman" w:hAnsi="Times New Roman" w:eastAsia="Times New Roman" w:cs="Times New Roman"/>
          <w:kern w:val="0"/>
          <w:sz w:val="24"/>
          <w:szCs w:val="24"/>
        </w:rPr>
        <w:t>_</w:t>
      </w:r>
      <w:r>
        <w:rPr>
          <w:rFonts w:ascii="宋体" w:hAnsi="宋体" w:eastAsia="宋体" w:cs="宋体"/>
          <w:kern w:val="0"/>
          <w:sz w:val="24"/>
          <w:szCs w:val="24"/>
        </w:rPr>
        <w:t>收入</w:t>
      </w:r>
      <w:r>
        <w:rPr>
          <w:rFonts w:ascii="Times New Roman" w:hAnsi="Times New Roman" w:eastAsia="Times New Roman" w:cs="Times New Roman"/>
          <w:kern w:val="0"/>
          <w:sz w:val="24"/>
          <w:szCs w:val="24"/>
        </w:rPr>
        <w:t>_</w:t>
      </w:r>
      <w:r>
        <w:rPr>
          <w:rFonts w:ascii="宋体" w:hAnsi="宋体" w:eastAsia="宋体" w:cs="宋体"/>
          <w:kern w:val="0"/>
          <w:sz w:val="24"/>
          <w:szCs w:val="24"/>
        </w:rPr>
        <w:t>年初预算数为：</w:t>
      </w:r>
      <w:r>
        <w:rPr>
          <w:rFonts w:ascii="Times New Roman" w:hAnsi="Times New Roman" w:eastAsia="Times New Roman" w:cs="Times New Roman"/>
          <w:kern w:val="0"/>
          <w:sz w:val="24"/>
          <w:szCs w:val="24"/>
        </w:rPr>
        <w:t>86.51</w:t>
      </w:r>
      <w:r>
        <w:rPr>
          <w:rFonts w:ascii="宋体" w:hAnsi="宋体" w:eastAsia="宋体" w:cs="宋体"/>
          <w:kern w:val="0"/>
          <w:sz w:val="24"/>
          <w:szCs w:val="24"/>
        </w:rPr>
        <w:t>万元，一般公共预算财政拨款收入</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83.51</w:t>
      </w:r>
      <w:r>
        <w:rPr>
          <w:rFonts w:ascii="宋体" w:hAnsi="宋体" w:eastAsia="宋体" w:cs="宋体"/>
          <w:kern w:val="0"/>
          <w:sz w:val="24"/>
          <w:szCs w:val="24"/>
        </w:rPr>
        <w:t>万元，基本支出</w:t>
      </w:r>
      <w:r>
        <w:rPr>
          <w:rFonts w:ascii="Times New Roman" w:hAnsi="Times New Roman" w:eastAsia="Times New Roman" w:cs="Times New Roman"/>
          <w:kern w:val="0"/>
          <w:sz w:val="24"/>
          <w:szCs w:val="24"/>
        </w:rPr>
        <w:t>_</w:t>
      </w:r>
      <w:r>
        <w:rPr>
          <w:rFonts w:ascii="宋体" w:hAnsi="宋体" w:eastAsia="宋体" w:cs="宋体"/>
          <w:kern w:val="0"/>
          <w:sz w:val="24"/>
          <w:szCs w:val="24"/>
        </w:rPr>
        <w:t>年初预算数为：</w:t>
      </w:r>
      <w:r>
        <w:rPr>
          <w:rFonts w:ascii="Times New Roman" w:hAnsi="Times New Roman" w:eastAsia="Times New Roman" w:cs="Times New Roman"/>
          <w:kern w:val="0"/>
          <w:sz w:val="24"/>
          <w:szCs w:val="24"/>
        </w:rPr>
        <w:t>84.51</w:t>
      </w:r>
      <w:r>
        <w:rPr>
          <w:rFonts w:ascii="宋体" w:hAnsi="宋体" w:eastAsia="宋体" w:cs="宋体"/>
          <w:kern w:val="0"/>
          <w:sz w:val="24"/>
          <w:szCs w:val="24"/>
        </w:rPr>
        <w:t>万元，基本支出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82.35</w:t>
      </w:r>
      <w:r>
        <w:rPr>
          <w:rFonts w:ascii="宋体" w:hAnsi="宋体" w:eastAsia="宋体" w:cs="宋体"/>
          <w:kern w:val="0"/>
          <w:sz w:val="24"/>
          <w:szCs w:val="24"/>
        </w:rPr>
        <w:t>万元，政府性基金预算财政拨款收入</w:t>
      </w:r>
      <w:r>
        <w:rPr>
          <w:rFonts w:ascii="Times New Roman" w:hAnsi="Times New Roman" w:eastAsia="Times New Roman" w:cs="Times New Roman"/>
          <w:kern w:val="0"/>
          <w:sz w:val="24"/>
          <w:szCs w:val="24"/>
        </w:rPr>
        <w:t>_</w:t>
      </w:r>
      <w:r>
        <w:rPr>
          <w:rFonts w:ascii="宋体" w:hAnsi="宋体" w:eastAsia="宋体" w:cs="宋体"/>
          <w:kern w:val="0"/>
          <w:sz w:val="24"/>
          <w:szCs w:val="24"/>
        </w:rPr>
        <w:t>年初预算数为：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万元，政府性基金预算财政拨款收入</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万元，本年收入合计</w:t>
      </w:r>
      <w:r>
        <w:rPr>
          <w:rFonts w:ascii="Times New Roman" w:hAnsi="Times New Roman" w:eastAsia="Times New Roman" w:cs="Times New Roman"/>
          <w:kern w:val="0"/>
          <w:sz w:val="24"/>
          <w:szCs w:val="24"/>
        </w:rPr>
        <w:t>_</w:t>
      </w:r>
      <w:r>
        <w:rPr>
          <w:rFonts w:ascii="宋体" w:hAnsi="宋体" w:eastAsia="宋体" w:cs="宋体"/>
          <w:kern w:val="0"/>
          <w:sz w:val="24"/>
          <w:szCs w:val="24"/>
        </w:rPr>
        <w:t>年初预算数为：</w:t>
      </w:r>
      <w:r>
        <w:rPr>
          <w:rFonts w:ascii="Times New Roman" w:hAnsi="Times New Roman" w:eastAsia="Times New Roman" w:cs="Times New Roman"/>
          <w:kern w:val="0"/>
          <w:sz w:val="24"/>
          <w:szCs w:val="24"/>
        </w:rPr>
        <w:t>86.51</w:t>
      </w:r>
      <w:r>
        <w:rPr>
          <w:rFonts w:ascii="宋体" w:hAnsi="宋体" w:eastAsia="宋体" w:cs="宋体"/>
          <w:kern w:val="0"/>
          <w:sz w:val="24"/>
          <w:szCs w:val="24"/>
        </w:rPr>
        <w:t>万元，本年收入合计</w:t>
      </w:r>
      <w:r>
        <w:rPr>
          <w:rFonts w:ascii="Times New Roman" w:hAnsi="Times New Roman" w:eastAsia="Times New Roman" w:cs="Times New Roman"/>
          <w:kern w:val="0"/>
          <w:sz w:val="24"/>
          <w:szCs w:val="24"/>
        </w:rPr>
        <w:t>__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83.51</w:t>
      </w:r>
      <w:r>
        <w:rPr>
          <w:rFonts w:ascii="宋体" w:hAnsi="宋体" w:eastAsia="宋体" w:cs="宋体"/>
          <w:kern w:val="0"/>
          <w:sz w:val="24"/>
          <w:szCs w:val="24"/>
        </w:rPr>
        <w:t>万元，本年支出合计</w:t>
      </w:r>
      <w:r>
        <w:rPr>
          <w:rFonts w:ascii="Times New Roman" w:hAnsi="Times New Roman" w:eastAsia="Times New Roman" w:cs="Times New Roman"/>
          <w:kern w:val="0"/>
          <w:sz w:val="24"/>
          <w:szCs w:val="24"/>
        </w:rPr>
        <w:t>_</w:t>
      </w:r>
      <w:r>
        <w:rPr>
          <w:rFonts w:ascii="宋体" w:hAnsi="宋体" w:eastAsia="宋体" w:cs="宋体"/>
          <w:kern w:val="0"/>
          <w:sz w:val="24"/>
          <w:szCs w:val="24"/>
        </w:rPr>
        <w:t>年初预算数为：</w:t>
      </w:r>
      <w:r>
        <w:rPr>
          <w:rFonts w:ascii="Times New Roman" w:hAnsi="Times New Roman" w:eastAsia="Times New Roman" w:cs="Times New Roman"/>
          <w:kern w:val="0"/>
          <w:sz w:val="24"/>
          <w:szCs w:val="24"/>
        </w:rPr>
        <w:t>87.32</w:t>
      </w:r>
      <w:r>
        <w:rPr>
          <w:rFonts w:ascii="宋体" w:hAnsi="宋体" w:eastAsia="宋体" w:cs="宋体"/>
          <w:kern w:val="0"/>
          <w:sz w:val="24"/>
          <w:szCs w:val="24"/>
        </w:rPr>
        <w:t>万元，本年支出合计</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83.51</w:t>
      </w:r>
      <w:r>
        <w:rPr>
          <w:rFonts w:ascii="宋体" w:hAnsi="宋体" w:eastAsia="宋体" w:cs="宋体"/>
          <w:kern w:val="0"/>
          <w:sz w:val="24"/>
          <w:szCs w:val="24"/>
        </w:rPr>
        <w:t>万元，年末结转和结余</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0.69</w:t>
      </w:r>
      <w:r>
        <w:rPr>
          <w:rFonts w:ascii="宋体" w:hAnsi="宋体" w:eastAsia="宋体" w:cs="宋体"/>
          <w:kern w:val="0"/>
          <w:sz w:val="24"/>
          <w:szCs w:val="24"/>
        </w:rPr>
        <w:t>万元。</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一般公共服务支出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3.07</w:t>
      </w:r>
      <w:r>
        <w:rPr>
          <w:rFonts w:ascii="宋体" w:hAnsi="宋体" w:eastAsia="宋体" w:cs="宋体"/>
          <w:kern w:val="0"/>
          <w:sz w:val="24"/>
          <w:szCs w:val="24"/>
        </w:rPr>
        <w:t>万元，外交支出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，国防支出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万元，公共安全支出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万元，教育支出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万元，科学技术支出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万元，文化旅游体育与传媒支出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万元，社会保障和就业支出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70.77</w:t>
      </w:r>
      <w:r>
        <w:rPr>
          <w:rFonts w:ascii="宋体" w:hAnsi="宋体" w:eastAsia="宋体" w:cs="宋体"/>
          <w:kern w:val="0"/>
          <w:sz w:val="24"/>
          <w:szCs w:val="24"/>
        </w:rPr>
        <w:t>万元，卫生健康支出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3.28</w:t>
      </w:r>
      <w:r>
        <w:rPr>
          <w:rFonts w:ascii="宋体" w:hAnsi="宋体" w:eastAsia="宋体" w:cs="宋体"/>
          <w:kern w:val="0"/>
          <w:sz w:val="24"/>
          <w:szCs w:val="24"/>
        </w:rPr>
        <w:t>万元，节能环保支出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万元，城乡社区支出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万元，农林水支出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万元，交通运输支出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万元，资源勘探工业信息等支出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万元，商业服务业等支出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万元，金融支出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万元，援助其他地区支出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万元，自然资源海洋气象等支出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万元，住房保障支出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6.40</w:t>
      </w:r>
      <w:r>
        <w:rPr>
          <w:rFonts w:ascii="宋体" w:hAnsi="宋体" w:eastAsia="宋体" w:cs="宋体"/>
          <w:kern w:val="0"/>
          <w:sz w:val="24"/>
          <w:szCs w:val="24"/>
        </w:rPr>
        <w:t>万元，粮油物资储备支出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万元，国有资本经营预算支出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万元，灾害防治及应急管理支出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万元，其他支出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万元，债务还本支出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万元，债务付息支出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万元，抗疫特别国债安排的支出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万元，基本支出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82.35</w:t>
      </w:r>
      <w:r>
        <w:rPr>
          <w:rFonts w:ascii="宋体" w:hAnsi="宋体" w:eastAsia="宋体" w:cs="宋体"/>
          <w:kern w:val="0"/>
          <w:sz w:val="24"/>
          <w:szCs w:val="24"/>
        </w:rPr>
        <w:t>万元，人员经费支出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77.64</w:t>
      </w:r>
      <w:r>
        <w:rPr>
          <w:rFonts w:ascii="宋体" w:hAnsi="宋体" w:eastAsia="宋体" w:cs="宋体"/>
          <w:kern w:val="0"/>
          <w:sz w:val="24"/>
          <w:szCs w:val="24"/>
        </w:rPr>
        <w:t>万元，公用经费支出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4.71</w:t>
      </w:r>
      <w:r>
        <w:rPr>
          <w:rFonts w:ascii="宋体" w:hAnsi="宋体" w:eastAsia="宋体" w:cs="宋体"/>
          <w:kern w:val="0"/>
          <w:sz w:val="24"/>
          <w:szCs w:val="24"/>
        </w:rPr>
        <w:t>万元，项目支出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1.16</w:t>
      </w:r>
      <w:r>
        <w:rPr>
          <w:rFonts w:ascii="宋体" w:hAnsi="宋体" w:eastAsia="宋体" w:cs="宋体"/>
          <w:kern w:val="0"/>
          <w:sz w:val="24"/>
          <w:szCs w:val="24"/>
        </w:rPr>
        <w:t>万元，其中：基本建设类项目支出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万元，上缴上级支出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万元，经营支出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万元，对附属单位补助支出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w:t>
      </w:r>
    </w:p>
    <w:p>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（二）收入支出预算执行情况。</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当年收入支出预算执行基本情况，与上年度对比情况，包括增减绝对值与幅度，增减变动主要原因。</w:t>
      </w:r>
      <w:r>
        <w:rPr>
          <w:rFonts w:ascii="Times New Roman" w:hAnsi="Times New Roman" w:eastAsia="Times New Roman" w:cs="Times New Roman"/>
          <w:kern w:val="0"/>
          <w:sz w:val="24"/>
          <w:szCs w:val="24"/>
        </w:rPr>
        <w:t> </w:t>
      </w:r>
    </w:p>
    <w:tbl>
      <w:tblPr>
        <w:tblStyle w:val="1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08"/>
        <w:gridCol w:w="332"/>
        <w:gridCol w:w="735"/>
        <w:gridCol w:w="735"/>
        <w:gridCol w:w="735"/>
        <w:gridCol w:w="568"/>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一、年度收支情况（单位：元）</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1.本年收入</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835,145.20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737,796.48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97,348.72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13.19</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其中：一般公共预算财政拨款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835,145.20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737,796.48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97,348.72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13.19</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政府性基金预算财政拨款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国有资本经营预算财政拨款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*事业收入</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事业单位经营收入</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*其他收入</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2.本年支出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835,145.20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737,796.48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97,348.72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13.19</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其中：基本支出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823,511.95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717,900.90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105,611.05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14.71</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（1）人员经费</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776,383.95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699,407.07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76,976.88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11.01</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（2）公用经费</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47,128.00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18,493.83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28,634.17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154.83</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11,633.25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19,895.58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-8,262.33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-41.53</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其中：基本建设类项目</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事业单位经营支出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3.年末结转和结余</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6,946.41</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27,122.58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-20,176.17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-74.39</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我单位根据工作要求，合理使用结余资金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其中：一般公共预算财政拨款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7,583.70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-7,583.70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我单位根据工作要求，合理使用结余资金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政府性基金预算财政拨款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国有资本经营预算财政拨款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bl>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w:t>
      </w:r>
    </w:p>
    <w:p>
      <w:pPr>
        <w:pStyle w:val="5"/>
        <w:keepNext w:val="0"/>
        <w:keepLines w:val="0"/>
        <w:widowControl/>
        <w:spacing w:before="319" w:after="319"/>
        <w:jc w:val="left"/>
        <w:rPr>
          <w:rFonts w:ascii="Times New Roman" w:hAnsi="Times New Roman" w:eastAsia="Times New Roman" w:cs="Times New Roman"/>
          <w:b/>
          <w:bCs/>
          <w:kern w:val="0"/>
          <w:sz w:val="24"/>
          <w:szCs w:val="24"/>
        </w:rPr>
      </w:pPr>
      <w:r>
        <w:rPr>
          <w:rFonts w:ascii="Times New Roman" w:hAnsi="Times New Roman" w:eastAsia="Times New Roman" w:cs="Times New Roman"/>
          <w:b/>
          <w:bCs/>
          <w:i w:val="0"/>
          <w:iCs w:val="0"/>
          <w:color w:val="auto"/>
          <w:kern w:val="0"/>
          <w:sz w:val="24"/>
          <w:szCs w:val="24"/>
        </w:rPr>
        <w:t>           1</w:t>
      </w:r>
      <w:r>
        <w:rPr>
          <w:rFonts w:ascii="宋体" w:hAnsi="宋体" w:eastAsia="宋体" w:cs="宋体"/>
          <w:b/>
          <w:bCs/>
          <w:i w:val="0"/>
          <w:iCs w:val="0"/>
          <w:color w:val="auto"/>
          <w:kern w:val="0"/>
          <w:sz w:val="24"/>
          <w:szCs w:val="24"/>
        </w:rPr>
        <w:t>．收入支出与预算对比分析。</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1</w:t>
      </w:r>
      <w:r>
        <w:rPr>
          <w:rFonts w:ascii="宋体" w:hAnsi="宋体" w:eastAsia="宋体" w:cs="宋体"/>
          <w:kern w:val="0"/>
          <w:sz w:val="24"/>
          <w:szCs w:val="24"/>
        </w:rPr>
        <w:t>）预、决算差异情况，可分收入支出功能科目、分单位、分收入支出具体项目逐项对比。</w:t>
      </w:r>
    </w:p>
    <w:tbl>
      <w:tblPr>
        <w:tblStyle w:val="1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516"/>
        <w:gridCol w:w="656"/>
        <w:gridCol w:w="1316"/>
        <w:gridCol w:w="131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项目(按功能分类)</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行次</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年初预算数</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全年预算数</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栏次</w:t>
            </w:r>
          </w:p>
        </w:tc>
        <w:tc>
          <w:tcPr>
            <w:tcW w:w="0" w:type="auto"/>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30,706.00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766,915.10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724,523.70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707,693.19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九、卫生健康支出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37,748.09</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32,779.01</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32,779.01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十、节能环保支出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十一、城乡社区支出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十二、农林水支出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十三、交通运输支出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十四、资源勘探工业信息等支出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十五、商业服务业等支出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十六、金融支出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十七、援助其他地区支出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十八、自然资源海洋气象等支出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十九、住房保障支出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60,396.94</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63,967.00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63,967.00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二十、粮油物资储备支出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二十一、国有资本经营预算支出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二十二、灾害防治及应急管理支出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二十三、其他支出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二十四、债务还本支出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二十五、债务付息支出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二十六、抗疫特别国债安排的支出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8,100.00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8,100.00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bl>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hint="default" w:ascii="Times New Roman" w:hAnsi="Times New Roman" w:eastAsia="Times New Roman" w:cs="Times New Roman"/>
          <w:kern w:val="0"/>
          <w:sz w:val="24"/>
          <w:szCs w:val="24"/>
          <w:lang w:val="en-US"/>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2</w:t>
      </w:r>
      <w:r>
        <w:rPr>
          <w:rFonts w:ascii="宋体" w:hAnsi="宋体" w:eastAsia="宋体" w:cs="宋体"/>
          <w:kern w:val="0"/>
          <w:sz w:val="24"/>
          <w:szCs w:val="24"/>
        </w:rPr>
        <w:t>）差异原因分析。</w:t>
      </w:r>
      <w:r>
        <w:rPr>
          <w:rFonts w:hint="eastAsia" w:ascii="宋体" w:hAnsi="宋体" w:eastAsia="宋体" w:cs="宋体"/>
          <w:kern w:val="0"/>
          <w:sz w:val="24"/>
          <w:szCs w:val="24"/>
          <w:lang w:val="en-US" w:eastAsia="zh-CN"/>
        </w:rPr>
        <w:t>我单位收入支出年末决算数较年初预算数差异略小。</w:t>
      </w:r>
    </w:p>
    <w:p>
      <w:pPr>
        <w:pStyle w:val="5"/>
        <w:keepNext w:val="0"/>
        <w:keepLines w:val="0"/>
        <w:widowControl/>
        <w:spacing w:before="319" w:after="319"/>
        <w:jc w:val="left"/>
        <w:rPr>
          <w:rFonts w:ascii="Times New Roman" w:hAnsi="Times New Roman" w:eastAsia="Times New Roman" w:cs="Times New Roman"/>
          <w:b/>
          <w:bCs/>
          <w:kern w:val="0"/>
          <w:sz w:val="24"/>
          <w:szCs w:val="24"/>
        </w:rPr>
      </w:pPr>
      <w:r>
        <w:rPr>
          <w:rFonts w:ascii="Times New Roman" w:hAnsi="Times New Roman" w:eastAsia="Times New Roman" w:cs="Times New Roman"/>
          <w:b/>
          <w:bCs/>
          <w:i w:val="0"/>
          <w:iCs w:val="0"/>
          <w:color w:val="auto"/>
          <w:kern w:val="0"/>
          <w:sz w:val="24"/>
          <w:szCs w:val="24"/>
        </w:rPr>
        <w:t>           2</w:t>
      </w:r>
      <w:r>
        <w:rPr>
          <w:rFonts w:ascii="宋体" w:hAnsi="宋体" w:eastAsia="宋体" w:cs="宋体"/>
          <w:b/>
          <w:bCs/>
          <w:i w:val="0"/>
          <w:iCs w:val="0"/>
          <w:color w:val="auto"/>
          <w:kern w:val="0"/>
          <w:sz w:val="24"/>
          <w:szCs w:val="24"/>
        </w:rPr>
        <w:t>．收入支出结构分析。</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1</w:t>
      </w:r>
      <w:r>
        <w:rPr>
          <w:rFonts w:ascii="宋体" w:hAnsi="宋体" w:eastAsia="宋体" w:cs="宋体"/>
          <w:kern w:val="0"/>
          <w:sz w:val="24"/>
          <w:szCs w:val="24"/>
        </w:rPr>
        <w:t>）各项收入占总收入的比重，各项支出占总支出的比重</w:t>
      </w:r>
      <w:r>
        <w:drawing>
          <wp:inline distT="0" distB="0" distL="114300" distR="114300">
            <wp:extent cx="5113020" cy="2733040"/>
            <wp:effectExtent l="4445" t="4445" r="6985" b="57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drawing>
          <wp:inline distT="0" distB="0" distL="114300" distR="114300">
            <wp:extent cx="5116195" cy="2908935"/>
            <wp:effectExtent l="4445" t="4445" r="22860" b="203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2</w:t>
      </w:r>
      <w:r>
        <w:rPr>
          <w:rFonts w:ascii="宋体" w:hAnsi="宋体" w:eastAsia="宋体" w:cs="宋体"/>
          <w:kern w:val="0"/>
          <w:sz w:val="24"/>
          <w:szCs w:val="24"/>
        </w:rPr>
        <w:t>）收入支出与上年度对比情况及原因分析。</w:t>
      </w:r>
    </w:p>
    <w:tbl>
      <w:tblPr>
        <w:tblStyle w:val="1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08"/>
        <w:gridCol w:w="332"/>
        <w:gridCol w:w="735"/>
        <w:gridCol w:w="735"/>
        <w:gridCol w:w="735"/>
        <w:gridCol w:w="568"/>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rPr>
            </w:pPr>
            <w:bookmarkStart w:id="1" w:name="_GoBack"/>
            <w:r>
              <w:rPr>
                <w:rFonts w:hint="default" w:ascii="Calibri" w:hAnsi="Calibri" w:eastAsia="宋体" w:cs="Calibri"/>
                <w:i w:val="0"/>
                <w:iCs w:val="0"/>
                <w:color w:val="000000"/>
                <w:kern w:val="0"/>
                <w:sz w:val="22"/>
                <w:szCs w:val="22"/>
                <w:u w:val="none"/>
                <w:lang w:val="en-US" w:eastAsia="zh-CN" w:bidi="ar"/>
              </w:rPr>
              <w:t>一、年度收支情况（单位：元）</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1.本年收入</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835,145.20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737,796.48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97,348.72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13.19</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其中：一般公共预算财政拨款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835,145.20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737,796.48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97,348.72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13.19</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政府性基金预算财政拨款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国有资本经营预算财政拨款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*事业收入</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事业单位经营收入</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*其他收入</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2.本年支出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835,145.20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737,796.48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97,348.72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13.19</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其中：基本支出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823,511.95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717,900.90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105,611.05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14.71</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（1）人员经费</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776,383.95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699,407.07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76,976.88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11.01</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（2）公用经费</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47,128.00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18,493.83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28,634.17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154.83</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11,633.25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19,895.58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-8,262.33</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-41.53</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经核实无误，我单位本年度根据实际业务需求，追加调增相关业务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其中：基本建设类项目</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事业单位经营支出</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3.年末结转和结余</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6,946.41</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27,122.58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-20,176.17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-74.39</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我单位根据工作要求，合理使用结余资金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其中：一般公共预算财政拨款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7,583.70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-7,583.70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我单位根据工作要求，合理使用结余资金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政府性基金预算财政拨款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国有资本经营预算财政拨款</w:t>
            </w:r>
          </w:p>
        </w:tc>
        <w:tc>
          <w:tcPr>
            <w:tcW w:w="0" w:type="auto"/>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shd w:val="clear" w:color="auto" w:fill="auto"/>
            <w:noWrap/>
            <w:vAlign w:val="center"/>
          </w:tcPr>
          <w:p>
            <w:pPr>
              <w:jc w:val="left"/>
              <w:rPr>
                <w:rFonts w:hint="default" w:ascii="Calibri" w:hAnsi="Calibri" w:eastAsia="宋体" w:cs="Calibri"/>
                <w:i w:val="0"/>
                <w:iCs w:val="0"/>
                <w:color w:val="000000"/>
                <w:sz w:val="22"/>
                <w:szCs w:val="22"/>
                <w:u w:val="none"/>
              </w:rPr>
            </w:pPr>
          </w:p>
        </w:tc>
      </w:tr>
      <w:bookmarkEnd w:id="1"/>
    </w:tbl>
    <w:p>
      <w:pPr>
        <w:widowControl/>
        <w:spacing w:before="240" w:after="240"/>
        <w:jc w:val="left"/>
        <w:rPr>
          <w:rFonts w:ascii="Times New Roman" w:hAnsi="Times New Roman" w:eastAsia="Times New Roman" w:cs="Times New Roman"/>
          <w:kern w:val="0"/>
          <w:sz w:val="24"/>
          <w:szCs w:val="24"/>
        </w:rPr>
      </w:pPr>
    </w:p>
    <w:p>
      <w:pPr>
        <w:pStyle w:val="5"/>
        <w:keepNext w:val="0"/>
        <w:keepLines w:val="0"/>
        <w:widowControl/>
        <w:spacing w:before="319" w:after="319"/>
        <w:jc w:val="left"/>
        <w:rPr>
          <w:rFonts w:ascii="Times New Roman" w:hAnsi="Times New Roman" w:eastAsia="Times New Roman" w:cs="Times New Roman"/>
          <w:b/>
          <w:bCs/>
          <w:kern w:val="0"/>
          <w:sz w:val="24"/>
          <w:szCs w:val="24"/>
        </w:rPr>
      </w:pPr>
      <w:r>
        <w:rPr>
          <w:rFonts w:ascii="Times New Roman" w:hAnsi="Times New Roman" w:eastAsia="Times New Roman" w:cs="Times New Roman"/>
          <w:b/>
          <w:bCs/>
          <w:i w:val="0"/>
          <w:iCs w:val="0"/>
          <w:color w:val="auto"/>
          <w:kern w:val="0"/>
          <w:sz w:val="24"/>
          <w:szCs w:val="24"/>
        </w:rPr>
        <w:t>           3</w:t>
      </w:r>
      <w:r>
        <w:rPr>
          <w:rFonts w:ascii="宋体" w:hAnsi="宋体" w:eastAsia="宋体" w:cs="宋体"/>
          <w:b/>
          <w:bCs/>
          <w:i w:val="0"/>
          <w:iCs w:val="0"/>
          <w:color w:val="auto"/>
          <w:kern w:val="0"/>
          <w:sz w:val="24"/>
          <w:szCs w:val="24"/>
        </w:rPr>
        <w:t>．支出按经济分类科目分析。</w:t>
      </w:r>
    </w:p>
    <w:p>
      <w:pPr>
        <w:widowControl/>
        <w:spacing w:before="240" w:after="240"/>
        <w:jc w:val="left"/>
        <w:rPr>
          <w:rFonts w:hint="eastAsia"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1</w:t>
      </w:r>
      <w:r>
        <w:rPr>
          <w:rFonts w:ascii="宋体" w:hAnsi="宋体" w:eastAsia="宋体" w:cs="宋体"/>
          <w:kern w:val="0"/>
          <w:sz w:val="24"/>
          <w:szCs w:val="24"/>
        </w:rPr>
        <w:t>）</w:t>
      </w:r>
      <w:r>
        <w:rPr>
          <w:rFonts w:ascii="Times New Roman" w:hAnsi="Times New Roman" w:eastAsia="Times New Roman" w:cs="Times New Roman"/>
          <w:kern w:val="0"/>
          <w:sz w:val="24"/>
          <w:szCs w:val="24"/>
        </w:rPr>
        <w:t>“</w:t>
      </w:r>
      <w:r>
        <w:rPr>
          <w:rFonts w:ascii="宋体" w:hAnsi="宋体" w:eastAsia="宋体" w:cs="宋体"/>
          <w:kern w:val="0"/>
          <w:sz w:val="24"/>
          <w:szCs w:val="24"/>
        </w:rPr>
        <w:t>三公</w:t>
      </w:r>
      <w:r>
        <w:rPr>
          <w:rFonts w:ascii="Times New Roman" w:hAnsi="Times New Roman" w:eastAsia="Times New Roman" w:cs="Times New Roman"/>
          <w:kern w:val="0"/>
          <w:sz w:val="24"/>
          <w:szCs w:val="24"/>
        </w:rPr>
        <w:t>”</w:t>
      </w:r>
      <w:r>
        <w:rPr>
          <w:rFonts w:ascii="宋体" w:hAnsi="宋体" w:eastAsia="宋体" w:cs="宋体"/>
          <w:kern w:val="0"/>
          <w:sz w:val="24"/>
          <w:szCs w:val="24"/>
        </w:rPr>
        <w:t>经费支出情况：</w:t>
      </w:r>
      <w:r>
        <w:rPr>
          <w:rFonts w:hint="eastAsia" w:ascii="宋体" w:hAnsi="宋体" w:eastAsia="宋体" w:cs="宋体"/>
          <w:kern w:val="0"/>
          <w:sz w:val="24"/>
          <w:szCs w:val="24"/>
        </w:rPr>
        <w:t>我单位本年度公务用车购置0辆，公车保有量</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辆，与上年度持平，公务用车运行维护费</w:t>
      </w: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元，比上年度</w:t>
      </w:r>
      <w:r>
        <w:rPr>
          <w:rFonts w:hint="eastAsia" w:ascii="宋体" w:hAnsi="宋体" w:eastAsia="宋体" w:cs="宋体"/>
          <w:kern w:val="0"/>
          <w:sz w:val="24"/>
          <w:szCs w:val="24"/>
          <w:lang w:val="en-US" w:eastAsia="zh-CN"/>
        </w:rPr>
        <w:t>减少0.00</w:t>
      </w:r>
      <w:r>
        <w:rPr>
          <w:rFonts w:hint="eastAsia" w:ascii="宋体" w:hAnsi="宋体" w:eastAsia="宋体" w:cs="宋体"/>
          <w:kern w:val="0"/>
          <w:sz w:val="24"/>
          <w:szCs w:val="24"/>
        </w:rPr>
        <w:t>元。与上年度持平。</w:t>
      </w:r>
      <w:r>
        <w:rPr>
          <w:rFonts w:ascii="宋体" w:hAnsi="宋体" w:eastAsia="宋体" w:cs="宋体"/>
          <w:kern w:val="0"/>
          <w:sz w:val="24"/>
          <w:szCs w:val="24"/>
        </w:rPr>
        <w:t>因公出国（境）团组数及人数</w:t>
      </w:r>
      <w:r>
        <w:rPr>
          <w:rFonts w:hint="eastAsia" w:ascii="宋体" w:hAnsi="宋体" w:eastAsia="宋体" w:cs="宋体"/>
          <w:kern w:val="0"/>
          <w:sz w:val="24"/>
          <w:szCs w:val="24"/>
        </w:rPr>
        <w:t>0人次，与上年度持平。公务接待费支出0元，与上年度持平。</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2</w:t>
      </w:r>
      <w:r>
        <w:rPr>
          <w:rFonts w:ascii="宋体" w:hAnsi="宋体" w:eastAsia="宋体" w:cs="宋体"/>
          <w:kern w:val="0"/>
          <w:sz w:val="24"/>
          <w:szCs w:val="24"/>
        </w:rPr>
        <w:t>）会议费支出情况：</w:t>
      </w:r>
      <w:r>
        <w:rPr>
          <w:rFonts w:hint="eastAsia" w:ascii="宋体" w:hAnsi="宋体" w:eastAsia="宋体" w:cs="宋体"/>
          <w:kern w:val="0"/>
          <w:sz w:val="24"/>
          <w:szCs w:val="24"/>
        </w:rPr>
        <w:t>本年度无会议费相关支出，与上年度持平</w:t>
      </w:r>
      <w:r>
        <w:rPr>
          <w:rFonts w:ascii="宋体" w:hAnsi="宋体" w:eastAsia="宋体" w:cs="宋体"/>
          <w:kern w:val="0"/>
          <w:sz w:val="24"/>
          <w:szCs w:val="24"/>
        </w:rPr>
        <w:t>。</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3</w:t>
      </w:r>
      <w:r>
        <w:rPr>
          <w:rFonts w:ascii="宋体" w:hAnsi="宋体" w:eastAsia="宋体" w:cs="宋体"/>
          <w:kern w:val="0"/>
          <w:sz w:val="24"/>
          <w:szCs w:val="24"/>
        </w:rPr>
        <w:t>）培训费支出情况：可进行上下年对比，人均支出情况分析（可做表、柱图、折线图）。</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679"/>
        <w:gridCol w:w="608"/>
        <w:gridCol w:w="869"/>
        <w:gridCol w:w="620"/>
        <w:gridCol w:w="4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指    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本年度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上年度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比上年增减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增减％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3.培训费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6,580.00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6,580.00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等线" w:cs="Calibri"/>
                <w:i w:val="0"/>
                <w:iCs w:val="0"/>
                <w:color w:val="000000"/>
                <w:sz w:val="22"/>
                <w:szCs w:val="22"/>
                <w:u w:val="none"/>
              </w:rPr>
            </w:pPr>
            <w:r>
              <w:rPr>
                <w:rFonts w:hint="default" w:ascii="Calibri" w:hAnsi="Calibri" w:eastAsia="等线" w:cs="Calibri"/>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等线" w:cs="Calibri"/>
                <w:i w:val="0"/>
                <w:iCs w:val="0"/>
                <w:color w:val="000000"/>
                <w:sz w:val="22"/>
                <w:szCs w:val="22"/>
                <w:u w:val="none"/>
                <w:lang w:val="en-US"/>
              </w:rPr>
            </w:pPr>
            <w:r>
              <w:rPr>
                <w:rFonts w:hint="default" w:ascii="Calibri" w:hAnsi="Calibri" w:eastAsia="等线" w:cs="Calibri"/>
                <w:i w:val="0"/>
                <w:iCs w:val="0"/>
                <w:color w:val="000000"/>
                <w:kern w:val="0"/>
                <w:sz w:val="22"/>
                <w:szCs w:val="22"/>
                <w:u w:val="none"/>
                <w:lang w:val="en-US" w:eastAsia="zh-CN" w:bidi="ar"/>
              </w:rPr>
              <w:t>经核实，本单位</w:t>
            </w:r>
            <w:r>
              <w:rPr>
                <w:rFonts w:hint="eastAsia" w:ascii="Calibri" w:hAnsi="Calibri" w:eastAsia="等线" w:cs="Calibri"/>
                <w:i w:val="0"/>
                <w:iCs w:val="0"/>
                <w:color w:val="000000"/>
                <w:kern w:val="0"/>
                <w:sz w:val="22"/>
                <w:szCs w:val="22"/>
                <w:u w:val="none"/>
                <w:lang w:val="en-US" w:eastAsia="zh-CN" w:bidi="ar"/>
              </w:rPr>
              <w:t>根据业务需要，</w:t>
            </w:r>
            <w:r>
              <w:rPr>
                <w:rFonts w:hint="default" w:ascii="Calibri" w:hAnsi="Calibri" w:eastAsia="等线" w:cs="Calibri"/>
                <w:i w:val="0"/>
                <w:iCs w:val="0"/>
                <w:color w:val="000000"/>
                <w:kern w:val="0"/>
                <w:sz w:val="22"/>
                <w:szCs w:val="22"/>
                <w:u w:val="none"/>
                <w:lang w:val="en-US" w:eastAsia="zh-CN" w:bidi="ar"/>
              </w:rPr>
              <w:t>工作人员参加外出培训</w:t>
            </w:r>
            <w:r>
              <w:rPr>
                <w:rFonts w:hint="eastAsia" w:ascii="Calibri" w:hAnsi="Calibri" w:eastAsia="等线" w:cs="Calibri"/>
                <w:i w:val="0"/>
                <w:iCs w:val="0"/>
                <w:color w:val="000000"/>
                <w:kern w:val="0"/>
                <w:sz w:val="22"/>
                <w:szCs w:val="22"/>
                <w:u w:val="none"/>
                <w:lang w:val="en-US" w:eastAsia="zh-CN" w:bidi="ar"/>
              </w:rPr>
              <w:t>，导致培训费相关支出增加</w:t>
            </w:r>
          </w:p>
        </w:tc>
      </w:tr>
    </w:tbl>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hint="eastAsia" w:ascii="Times New Roman" w:hAnsi="Times New Roman" w:eastAsia="宋体" w:cs="Times New Roman"/>
          <w:kern w:val="0"/>
          <w:sz w:val="24"/>
          <w:szCs w:val="24"/>
          <w:lang w:val="en-US" w:eastAsia="zh-CN"/>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4</w:t>
      </w:r>
      <w:r>
        <w:rPr>
          <w:rFonts w:ascii="宋体" w:hAnsi="宋体" w:eastAsia="宋体" w:cs="宋体"/>
          <w:kern w:val="0"/>
          <w:sz w:val="24"/>
          <w:szCs w:val="24"/>
        </w:rPr>
        <w:t>）其他对单位影响较大的支出情况。</w:t>
      </w:r>
      <w:r>
        <w:rPr>
          <w:rFonts w:hint="eastAsia" w:ascii="宋体" w:hAnsi="宋体" w:eastAsia="宋体" w:cs="宋体"/>
          <w:kern w:val="0"/>
          <w:sz w:val="24"/>
          <w:szCs w:val="24"/>
          <w:lang w:val="en-US" w:eastAsia="zh-CN"/>
        </w:rPr>
        <w:t>无</w:t>
      </w:r>
    </w:p>
    <w:p>
      <w:pPr>
        <w:widowControl/>
        <w:spacing w:before="240" w:after="240"/>
        <w:jc w:val="left"/>
        <w:rPr>
          <w:rFonts w:hint="eastAsia" w:ascii="Times New Roman" w:hAnsi="Times New Roman" w:eastAsia="宋体" w:cs="Times New Roman"/>
          <w:kern w:val="0"/>
          <w:sz w:val="24"/>
          <w:szCs w:val="24"/>
          <w:lang w:val="en-US" w:eastAsia="zh-CN"/>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5</w:t>
      </w:r>
      <w:r>
        <w:rPr>
          <w:rFonts w:ascii="宋体" w:hAnsi="宋体" w:eastAsia="宋体" w:cs="宋体"/>
          <w:kern w:val="0"/>
          <w:sz w:val="24"/>
          <w:szCs w:val="24"/>
        </w:rPr>
        <w:t>）重点经济分类支出中存在的问题及改进措施。</w:t>
      </w:r>
      <w:r>
        <w:rPr>
          <w:rFonts w:hint="eastAsia" w:ascii="宋体" w:hAnsi="宋体" w:eastAsia="宋体" w:cs="宋体"/>
          <w:kern w:val="0"/>
          <w:sz w:val="24"/>
          <w:szCs w:val="24"/>
          <w:lang w:val="en-US" w:eastAsia="zh-CN"/>
        </w:rPr>
        <w:t>无</w:t>
      </w:r>
    </w:p>
    <w:p>
      <w:pPr>
        <w:pStyle w:val="5"/>
        <w:keepNext w:val="0"/>
        <w:keepLines w:val="0"/>
        <w:widowControl/>
        <w:spacing w:before="319" w:after="319"/>
        <w:jc w:val="left"/>
        <w:rPr>
          <w:rFonts w:ascii="Times New Roman" w:hAnsi="Times New Roman" w:eastAsia="Times New Roman" w:cs="Times New Roman"/>
          <w:b/>
          <w:bCs/>
          <w:kern w:val="0"/>
          <w:sz w:val="24"/>
          <w:szCs w:val="24"/>
        </w:rPr>
      </w:pPr>
      <w:r>
        <w:rPr>
          <w:rFonts w:ascii="Times New Roman" w:hAnsi="Times New Roman" w:eastAsia="Times New Roman" w:cs="Times New Roman"/>
          <w:b/>
          <w:bCs/>
          <w:i w:val="0"/>
          <w:iCs w:val="0"/>
          <w:color w:val="auto"/>
          <w:kern w:val="0"/>
          <w:sz w:val="24"/>
          <w:szCs w:val="24"/>
        </w:rPr>
        <w:t>           4.</w:t>
      </w:r>
      <w:r>
        <w:rPr>
          <w:rFonts w:ascii="宋体" w:hAnsi="宋体" w:eastAsia="宋体" w:cs="宋体"/>
          <w:b/>
          <w:bCs/>
          <w:i w:val="0"/>
          <w:iCs w:val="0"/>
          <w:color w:val="auto"/>
          <w:kern w:val="0"/>
          <w:sz w:val="24"/>
          <w:szCs w:val="24"/>
        </w:rPr>
        <w:t>财政拨款收入、支出分析。</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hint="eastAsia" w:ascii="宋体" w:hAnsi="宋体" w:eastAsia="宋体" w:cs="宋体"/>
          <w:kern w:val="0"/>
          <w:sz w:val="24"/>
          <w:szCs w:val="24"/>
        </w:rPr>
        <w:t>我单位本年度财政拨款收入总计</w:t>
      </w:r>
      <w:r>
        <w:rPr>
          <w:rFonts w:hint="eastAsia" w:ascii="宋体" w:hAnsi="宋体" w:eastAsia="宋体" w:cs="宋体"/>
          <w:kern w:val="0"/>
          <w:sz w:val="24"/>
          <w:szCs w:val="24"/>
          <w:lang w:val="en-US" w:eastAsia="zh-CN"/>
        </w:rPr>
        <w:t>835,145.20</w:t>
      </w:r>
      <w:r>
        <w:rPr>
          <w:rFonts w:hint="eastAsia" w:ascii="宋体" w:hAnsi="宋体" w:eastAsia="宋体" w:cs="宋体"/>
          <w:kern w:val="0"/>
          <w:sz w:val="24"/>
          <w:szCs w:val="24"/>
        </w:rPr>
        <w:t>元，</w:t>
      </w:r>
      <w:r>
        <w:rPr>
          <w:rFonts w:hint="eastAsia" w:ascii="宋体" w:hAnsi="宋体" w:eastAsia="宋体" w:cs="宋体"/>
          <w:kern w:val="0"/>
          <w:sz w:val="24"/>
          <w:szCs w:val="24"/>
          <w:lang w:val="en-US" w:eastAsia="zh-CN"/>
        </w:rPr>
        <w:t>主要包括一般公共预算财政拨款835,145.20元，</w:t>
      </w:r>
      <w:r>
        <w:rPr>
          <w:rFonts w:hint="eastAsia" w:ascii="宋体" w:hAnsi="宋体" w:eastAsia="宋体" w:cs="宋体"/>
          <w:kern w:val="0"/>
          <w:sz w:val="24"/>
          <w:szCs w:val="24"/>
        </w:rPr>
        <w:t>本年度财政拨款</w:t>
      </w:r>
      <w:r>
        <w:rPr>
          <w:rFonts w:hint="eastAsia" w:ascii="宋体" w:hAnsi="宋体" w:eastAsia="宋体" w:cs="宋体"/>
          <w:kern w:val="0"/>
          <w:sz w:val="24"/>
          <w:szCs w:val="24"/>
          <w:lang w:val="en-US" w:eastAsia="zh-CN"/>
        </w:rPr>
        <w:t>支出</w:t>
      </w:r>
      <w:r>
        <w:rPr>
          <w:rFonts w:hint="eastAsia" w:ascii="宋体" w:hAnsi="宋体" w:eastAsia="宋体" w:cs="宋体"/>
          <w:kern w:val="0"/>
          <w:sz w:val="24"/>
          <w:szCs w:val="24"/>
        </w:rPr>
        <w:t>总计</w:t>
      </w:r>
      <w:r>
        <w:rPr>
          <w:rFonts w:hint="eastAsia" w:ascii="宋体" w:hAnsi="宋体" w:eastAsia="宋体" w:cs="宋体"/>
          <w:kern w:val="0"/>
          <w:sz w:val="24"/>
          <w:szCs w:val="24"/>
          <w:lang w:val="en-US" w:eastAsia="zh-CN"/>
        </w:rPr>
        <w:t>835,145.20</w:t>
      </w:r>
      <w:r>
        <w:rPr>
          <w:rFonts w:hint="eastAsia" w:ascii="宋体" w:hAnsi="宋体" w:eastAsia="宋体" w:cs="宋体"/>
          <w:kern w:val="0"/>
          <w:sz w:val="24"/>
          <w:szCs w:val="24"/>
        </w:rPr>
        <w:t>元主要包括基本支出和项目支出。其中，基本支出总计845,060.13元，其中人员经费781,139.12元，主要用于单位职工工资及社保费支出，日常公用经费63,921.01元，主要用于单位日常办公及</w:t>
      </w:r>
      <w:r>
        <w:rPr>
          <w:rFonts w:hint="eastAsia" w:ascii="宋体" w:hAnsi="宋体" w:eastAsia="宋体" w:cs="宋体"/>
          <w:kern w:val="0"/>
          <w:sz w:val="24"/>
          <w:szCs w:val="24"/>
          <w:lang w:val="en-US" w:eastAsia="zh-CN"/>
        </w:rPr>
        <w:t>水电费</w:t>
      </w:r>
      <w:r>
        <w:rPr>
          <w:rFonts w:hint="eastAsia" w:ascii="宋体" w:hAnsi="宋体" w:eastAsia="宋体" w:cs="宋体"/>
          <w:kern w:val="0"/>
          <w:sz w:val="24"/>
          <w:szCs w:val="24"/>
        </w:rPr>
        <w:t>等相关支出。项目支出总计</w:t>
      </w:r>
      <w:r>
        <w:rPr>
          <w:rFonts w:hint="eastAsia" w:ascii="宋体" w:hAnsi="宋体" w:eastAsia="宋体" w:cs="宋体"/>
          <w:kern w:val="0"/>
          <w:sz w:val="24"/>
          <w:szCs w:val="24"/>
          <w:lang w:val="en-US" w:eastAsia="zh-CN"/>
        </w:rPr>
        <w:t>28,100.00</w:t>
      </w:r>
      <w:r>
        <w:rPr>
          <w:rFonts w:hint="eastAsia" w:ascii="宋体" w:hAnsi="宋体" w:eastAsia="宋体" w:cs="宋体"/>
          <w:kern w:val="0"/>
          <w:sz w:val="24"/>
          <w:szCs w:val="24"/>
        </w:rPr>
        <w:t>元，主要</w:t>
      </w:r>
      <w:r>
        <w:rPr>
          <w:rFonts w:hint="eastAsia" w:ascii="宋体" w:hAnsi="宋体" w:eastAsia="宋体" w:cs="宋体"/>
          <w:kern w:val="0"/>
          <w:sz w:val="24"/>
          <w:szCs w:val="24"/>
          <w:lang w:val="en-US" w:eastAsia="zh-CN"/>
        </w:rPr>
        <w:t>“三救三献”项目等</w:t>
      </w:r>
      <w:r>
        <w:rPr>
          <w:rFonts w:hint="eastAsia" w:ascii="宋体" w:hAnsi="宋体" w:eastAsia="宋体" w:cs="宋体"/>
          <w:kern w:val="0"/>
          <w:sz w:val="24"/>
          <w:szCs w:val="24"/>
        </w:rPr>
        <w:t>支出。</w:t>
      </w:r>
    </w:p>
    <w:p>
      <w:pPr>
        <w:pStyle w:val="5"/>
        <w:keepNext w:val="0"/>
        <w:keepLines w:val="0"/>
        <w:widowControl/>
        <w:spacing w:before="319" w:after="319"/>
        <w:ind w:firstLine="480" w:firstLineChars="200"/>
        <w:jc w:val="left"/>
        <w:rPr>
          <w:rFonts w:ascii="Times New Roman" w:hAnsi="Times New Roman" w:eastAsia="Times New Roman" w:cs="Times New Roman"/>
          <w:b/>
          <w:bCs/>
          <w:kern w:val="0"/>
          <w:sz w:val="24"/>
          <w:szCs w:val="24"/>
        </w:rPr>
      </w:pPr>
      <w:r>
        <w:rPr>
          <w:rFonts w:ascii="Times New Roman" w:hAnsi="Times New Roman" w:eastAsia="Times New Roman" w:cs="Times New Roman"/>
          <w:b/>
          <w:bCs/>
          <w:i w:val="0"/>
          <w:iCs w:val="0"/>
          <w:color w:val="auto"/>
          <w:kern w:val="0"/>
          <w:sz w:val="24"/>
          <w:szCs w:val="24"/>
        </w:rPr>
        <w:t>5.</w:t>
      </w:r>
      <w:r>
        <w:rPr>
          <w:rFonts w:ascii="宋体" w:hAnsi="宋体" w:eastAsia="宋体" w:cs="宋体"/>
          <w:b/>
          <w:bCs/>
          <w:i w:val="0"/>
          <w:iCs w:val="0"/>
          <w:color w:val="auto"/>
          <w:kern w:val="0"/>
          <w:sz w:val="24"/>
          <w:szCs w:val="24"/>
        </w:rPr>
        <w:t>非财政拨款收入分析。</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我单位本年度非财政拨款收入总计0.00元。</w:t>
      </w:r>
    </w:p>
    <w:p>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b/>
          <w:bCs/>
          <w:color w:val="auto"/>
          <w:kern w:val="0"/>
          <w:sz w:val="28"/>
          <w:szCs w:val="28"/>
        </w:rPr>
        <w:t>（三）年末结转和结余情况。</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1</w:t>
      </w:r>
      <w:r>
        <w:rPr>
          <w:rFonts w:ascii="宋体" w:hAnsi="宋体" w:eastAsia="宋体" w:cs="宋体"/>
          <w:kern w:val="0"/>
          <w:sz w:val="24"/>
          <w:szCs w:val="24"/>
        </w:rPr>
        <w:t>．</w:t>
      </w:r>
      <w:r>
        <w:rPr>
          <w:rFonts w:hint="eastAsia" w:ascii="宋体" w:hAnsi="宋体" w:eastAsia="宋体" w:cs="宋体"/>
          <w:kern w:val="0"/>
          <w:sz w:val="24"/>
          <w:szCs w:val="24"/>
        </w:rPr>
        <w:t>我单位年末财政拨款结转</w:t>
      </w: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元。非财政拨款结转</w:t>
      </w:r>
      <w:r>
        <w:rPr>
          <w:rFonts w:hint="eastAsia" w:ascii="宋体" w:hAnsi="宋体" w:eastAsia="宋体" w:cs="宋体"/>
          <w:kern w:val="0"/>
          <w:sz w:val="24"/>
          <w:szCs w:val="24"/>
          <w:lang w:val="en-US" w:eastAsia="zh-CN"/>
        </w:rPr>
        <w:t>6,946.41</w:t>
      </w:r>
      <w:r>
        <w:rPr>
          <w:rFonts w:hint="eastAsia" w:ascii="宋体" w:hAnsi="宋体" w:cs="宋体"/>
          <w:kern w:val="0"/>
          <w:sz w:val="24"/>
        </w:rPr>
        <w:t>元</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eastAsia="zh-CN"/>
        </w:rPr>
        <w:t>。</w:t>
      </w:r>
      <w:r>
        <w:rPr>
          <w:rFonts w:ascii="Times New Roman" w:hAnsi="Times New Roman" w:eastAsia="Times New Roman" w:cs="Times New Roman"/>
          <w:kern w:val="0"/>
          <w:sz w:val="24"/>
          <w:szCs w:val="24"/>
        </w:rPr>
        <w:t xml:space="preserve">          </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r>
        <w:rPr>
          <w:rFonts w:hint="eastAsia" w:ascii="宋体" w:hAnsi="宋体" w:eastAsia="宋体" w:cs="宋体"/>
          <w:kern w:val="0"/>
          <w:sz w:val="24"/>
          <w:szCs w:val="24"/>
        </w:rPr>
        <w:t>2．消化结转和结余的对策。我单位坚持零基预算，动态清零的原则，剩余</w:t>
      </w:r>
      <w:r>
        <w:rPr>
          <w:rFonts w:hint="eastAsia" w:ascii="宋体" w:hAnsi="宋体" w:eastAsia="宋体" w:cs="宋体"/>
          <w:kern w:val="0"/>
          <w:sz w:val="24"/>
          <w:szCs w:val="24"/>
          <w:lang w:val="en-US" w:eastAsia="zh-CN"/>
        </w:rPr>
        <w:t>非</w:t>
      </w:r>
      <w:r>
        <w:rPr>
          <w:rFonts w:hint="eastAsia" w:ascii="宋体" w:hAnsi="宋体" w:eastAsia="宋体" w:cs="宋体"/>
          <w:kern w:val="0"/>
          <w:sz w:val="24"/>
          <w:szCs w:val="24"/>
        </w:rPr>
        <w:t>财政拨款结转资金计划用于202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年度相关项目支出，预计202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年度全部支付完毕。</w:t>
      </w:r>
    </w:p>
    <w:p>
      <w:pPr>
        <w:widowControl/>
        <w:spacing w:before="240" w:after="240"/>
        <w:jc w:val="left"/>
        <w:rPr>
          <w:rFonts w:ascii="Times New Roman" w:hAnsi="Times New Roman" w:eastAsia="Times New Roman" w:cs="Times New Roman"/>
          <w:kern w:val="0"/>
          <w:sz w:val="24"/>
          <w:szCs w:val="24"/>
        </w:rPr>
      </w:pPr>
    </w:p>
    <w:p>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（四）与预算支出相关的其他指标分析。</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对资产、负债信息进行分析，主要分析与上年度对比情况，包括增减绝对值与幅度，增减变动主要原因。</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4"/>
        <w:gridCol w:w="656"/>
        <w:gridCol w:w="656"/>
        <w:gridCol w:w="1219"/>
        <w:gridCol w:w="656"/>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  目</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行次</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年初数</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栏  次</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财务会计补充信息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一、资产信息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（一）货币资金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6,140.51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其中：银行存款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6,140.51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（二）财政应返还额度</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（三）固定资产原值</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128,334.53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64,658.00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其中：房屋（平方米）</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1.办公用房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2.业务用房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3.其他（不含构筑物）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车辆（台、辆）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75,000.00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1.轿车</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75,000.00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2.越野车</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3.小型客车</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4.中型客车和大型客车</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5.其他车型</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减：固定资产累计折旧</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116,543.37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固定资产净值</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11,791.16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20,069.63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（四）在建工程</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二、负债信息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（一）借款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（二）应缴财政款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（三）应付职工薪酬</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bl>
    <w:p>
      <w:pPr>
        <w:widowControl/>
        <w:spacing w:before="240" w:after="240"/>
        <w:ind w:firstLine="480" w:firstLineChars="200"/>
        <w:jc w:val="left"/>
        <w:rPr>
          <w:rFonts w:ascii="Times New Roman" w:hAnsi="Times New Roman" w:eastAsia="Times New Roman" w:cs="Times New Roman"/>
          <w:kern w:val="0"/>
          <w:sz w:val="24"/>
          <w:szCs w:val="24"/>
        </w:rPr>
      </w:pPr>
      <w:r>
        <w:rPr>
          <w:rFonts w:hint="eastAsia" w:ascii="宋体" w:hAnsi="宋体" w:eastAsia="宋体" w:cs="宋体"/>
          <w:kern w:val="0"/>
          <w:sz w:val="24"/>
          <w:szCs w:val="24"/>
        </w:rPr>
        <w:t>本年度固定资产净值</w:t>
      </w:r>
      <w:r>
        <w:rPr>
          <w:rFonts w:hint="eastAsia" w:ascii="宋体" w:hAnsi="宋体" w:eastAsia="宋体" w:cs="宋体"/>
          <w:kern w:val="0"/>
          <w:sz w:val="24"/>
          <w:szCs w:val="24"/>
          <w:lang w:val="en-US" w:eastAsia="zh-CN"/>
        </w:rPr>
        <w:t>减少7.19万</w:t>
      </w:r>
      <w:r>
        <w:rPr>
          <w:rFonts w:hint="eastAsia" w:ascii="宋体" w:hAnsi="宋体" w:eastAsia="宋体" w:cs="宋体"/>
          <w:kern w:val="0"/>
          <w:sz w:val="24"/>
          <w:szCs w:val="24"/>
        </w:rPr>
        <w:t>元，</w:t>
      </w:r>
      <w:r>
        <w:rPr>
          <w:rFonts w:hint="eastAsia" w:ascii="宋体" w:hAnsi="宋体" w:eastAsia="宋体" w:cs="宋体"/>
          <w:kern w:val="0"/>
          <w:sz w:val="24"/>
          <w:szCs w:val="24"/>
          <w:lang w:val="en-US" w:eastAsia="zh-CN"/>
        </w:rPr>
        <w:t>为本年度正常计提折旧</w:t>
      </w:r>
      <w:r>
        <w:rPr>
          <w:rFonts w:hint="eastAsia" w:ascii="宋体" w:hAnsi="宋体" w:eastAsia="宋体" w:cs="宋体"/>
          <w:kern w:val="0"/>
          <w:sz w:val="24"/>
          <w:szCs w:val="24"/>
        </w:rPr>
        <w:t>导致的净值</w:t>
      </w:r>
      <w:r>
        <w:rPr>
          <w:rFonts w:hint="eastAsia" w:ascii="宋体" w:hAnsi="宋体" w:eastAsia="宋体" w:cs="宋体"/>
          <w:kern w:val="0"/>
          <w:sz w:val="24"/>
          <w:szCs w:val="24"/>
          <w:lang w:val="en-US" w:eastAsia="zh-CN"/>
        </w:rPr>
        <w:t>减少以及我单位调拨车辆至机关事务服务中心</w:t>
      </w:r>
      <w:r>
        <w:rPr>
          <w:rFonts w:hint="eastAsia" w:ascii="宋体" w:hAnsi="宋体" w:eastAsia="宋体" w:cs="宋体"/>
          <w:kern w:val="0"/>
          <w:sz w:val="24"/>
          <w:szCs w:val="24"/>
        </w:rPr>
        <w:t>。流动资产</w:t>
      </w:r>
      <w:r>
        <w:rPr>
          <w:rFonts w:hint="eastAsia" w:ascii="宋体" w:hAnsi="宋体" w:eastAsia="宋体" w:cs="宋体"/>
          <w:kern w:val="0"/>
          <w:sz w:val="24"/>
          <w:szCs w:val="24"/>
          <w:lang w:val="en-US" w:eastAsia="zh-CN"/>
        </w:rPr>
        <w:t>减少0.09</w:t>
      </w:r>
      <w:r>
        <w:rPr>
          <w:rFonts w:hint="eastAsia" w:ascii="宋体" w:hAnsi="宋体" w:eastAsia="宋体" w:cs="宋体"/>
          <w:kern w:val="0"/>
          <w:sz w:val="24"/>
          <w:szCs w:val="24"/>
        </w:rPr>
        <w:t>万元，</w:t>
      </w:r>
      <w:r>
        <w:rPr>
          <w:rFonts w:hint="eastAsia" w:ascii="宋体" w:hAnsi="宋体" w:eastAsia="宋体" w:cs="宋体"/>
          <w:kern w:val="0"/>
          <w:sz w:val="24"/>
          <w:szCs w:val="24"/>
          <w:lang w:val="en-US" w:eastAsia="zh-CN"/>
        </w:rPr>
        <w:t>减少</w:t>
      </w:r>
      <w:r>
        <w:rPr>
          <w:rFonts w:hint="eastAsia" w:ascii="宋体" w:hAnsi="宋体" w:eastAsia="宋体" w:cs="宋体"/>
          <w:kern w:val="0"/>
          <w:sz w:val="24"/>
          <w:szCs w:val="24"/>
        </w:rPr>
        <w:t>的主要原因为：</w:t>
      </w:r>
      <w:r>
        <w:rPr>
          <w:rFonts w:hint="eastAsia" w:ascii="宋体" w:hAnsi="宋体" w:eastAsia="宋体" w:cs="宋体"/>
          <w:kern w:val="0"/>
          <w:sz w:val="24"/>
          <w:szCs w:val="24"/>
          <w:lang w:val="en-US" w:eastAsia="zh-CN"/>
        </w:rPr>
        <w:t>本年度支付</w:t>
      </w:r>
      <w:r>
        <w:rPr>
          <w:rFonts w:ascii="宋体" w:hAnsi="宋体" w:eastAsia="宋体" w:cs="宋体"/>
          <w:kern w:val="0"/>
          <w:sz w:val="24"/>
          <w:szCs w:val="24"/>
        </w:rPr>
        <w:t>部分</w:t>
      </w:r>
      <w:r>
        <w:rPr>
          <w:rFonts w:hint="eastAsia" w:ascii="宋体" w:hAnsi="宋体" w:eastAsia="宋体" w:cs="宋体"/>
          <w:kern w:val="0"/>
          <w:sz w:val="24"/>
          <w:szCs w:val="24"/>
          <w:lang w:val="en-US" w:eastAsia="zh-CN"/>
        </w:rPr>
        <w:t>上年未支付</w:t>
      </w:r>
      <w:r>
        <w:rPr>
          <w:rFonts w:ascii="宋体" w:hAnsi="宋体" w:eastAsia="宋体" w:cs="宋体"/>
          <w:kern w:val="0"/>
          <w:sz w:val="24"/>
          <w:szCs w:val="24"/>
        </w:rPr>
        <w:t>专项应付款，导致年末银行存款</w:t>
      </w:r>
      <w:r>
        <w:rPr>
          <w:rFonts w:hint="eastAsia" w:ascii="宋体" w:hAnsi="宋体" w:eastAsia="宋体" w:cs="宋体"/>
          <w:kern w:val="0"/>
          <w:sz w:val="24"/>
          <w:szCs w:val="24"/>
          <w:lang w:val="en-US" w:eastAsia="zh-CN"/>
        </w:rPr>
        <w:t>减少</w:t>
      </w:r>
      <w:r>
        <w:rPr>
          <w:rFonts w:hint="eastAsia" w:ascii="宋体" w:hAnsi="宋体" w:eastAsia="宋体" w:cs="宋体"/>
          <w:kern w:val="0"/>
          <w:sz w:val="24"/>
          <w:szCs w:val="24"/>
        </w:rPr>
        <w:t>。负债较上年度无变化。</w:t>
      </w:r>
    </w:p>
    <w:p>
      <w:pPr>
        <w:widowControl/>
        <w:spacing w:before="240" w:after="240"/>
        <w:jc w:val="left"/>
        <w:rPr>
          <w:rFonts w:ascii="Times New Roman" w:hAnsi="Times New Roman" w:eastAsia="Times New Roman" w:cs="Times New Roman"/>
          <w:b/>
          <w:bCs/>
          <w:kern w:val="0"/>
          <w:sz w:val="24"/>
          <w:szCs w:val="24"/>
        </w:rPr>
      </w:pPr>
    </w:p>
    <w:p>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（五）绩效目标完成情况。</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1.</w:t>
      </w:r>
      <w:r>
        <w:rPr>
          <w:rFonts w:ascii="宋体" w:hAnsi="宋体" w:eastAsia="宋体" w:cs="宋体"/>
          <w:kern w:val="0"/>
          <w:sz w:val="24"/>
          <w:szCs w:val="24"/>
        </w:rPr>
        <w:t>概述项目绩效目标完成情况。</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2.</w:t>
      </w:r>
      <w:r>
        <w:rPr>
          <w:rFonts w:ascii="宋体" w:hAnsi="宋体" w:eastAsia="宋体" w:cs="宋体"/>
          <w:kern w:val="0"/>
          <w:sz w:val="24"/>
          <w:szCs w:val="24"/>
        </w:rPr>
        <w:t>概述本单位整体支出绩效目标实现情况（如有）。</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注：个别单位如在报送决算时尚未完成绩效评价工作的，可不在报告中说明。</w:t>
      </w:r>
    </w:p>
    <w:p>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（六）当年预算执行及绩效管理中存在问题、原因及改进措施。</w:t>
      </w:r>
    </w:p>
    <w:p>
      <w:pPr>
        <w:pStyle w:val="3"/>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b/>
          <w:bCs/>
          <w:color w:val="auto"/>
          <w:kern w:val="0"/>
          <w:sz w:val="36"/>
          <w:szCs w:val="36"/>
        </w:rPr>
        <w:t>三、本年度部门决算等财务工作开展情况</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（一）本单位财务管理、绩效管理、决算组织、编报、审核情况。</w:t>
      </w:r>
    </w:p>
    <w:p>
      <w:pPr>
        <w:widowControl/>
        <w:spacing w:before="240" w:after="240"/>
        <w:ind w:firstLine="960" w:firstLineChars="400"/>
        <w:jc w:val="left"/>
        <w:rPr>
          <w:rFonts w:ascii="宋体" w:hAnsi="宋体" w:eastAsia="宋体" w:cs="宋体"/>
          <w:kern w:val="0"/>
          <w:sz w:val="24"/>
          <w:szCs w:val="24"/>
        </w:rPr>
      </w:pPr>
      <w:r>
        <w:rPr>
          <w:rFonts w:hint="eastAsia" w:ascii="宋体" w:hAnsi="宋体" w:eastAsia="宋体" w:cs="宋体"/>
          <w:kern w:val="0"/>
          <w:sz w:val="24"/>
          <w:szCs w:val="24"/>
        </w:rPr>
        <w:t>本单位对财务管理进行规范化，同财政部门及时沟通学习，积极进行财政部门组织的决算、编报、审核等方面工作按时完成，认真如实填报。</w:t>
      </w:r>
    </w:p>
    <w:p>
      <w:pPr>
        <w:widowControl/>
        <w:numPr>
          <w:ilvl w:val="0"/>
          <w:numId w:val="1"/>
        </w:numPr>
        <w:spacing w:before="240" w:after="240"/>
        <w:ind w:left="780" w:leftChars="0" w:firstLine="0" w:firstLineChars="0"/>
        <w:jc w:val="left"/>
        <w:rPr>
          <w:rFonts w:ascii="宋体" w:hAnsi="宋体" w:eastAsia="宋体" w:cs="宋体"/>
          <w:kern w:val="0"/>
          <w:sz w:val="24"/>
          <w:szCs w:val="24"/>
        </w:rPr>
      </w:pPr>
      <w:r>
        <w:rPr>
          <w:rFonts w:ascii="宋体" w:hAnsi="宋体" w:eastAsia="宋体" w:cs="宋体"/>
          <w:kern w:val="0"/>
          <w:sz w:val="24"/>
          <w:szCs w:val="24"/>
        </w:rPr>
        <w:t>本单位决算及绩效信息公开工作开展情况。</w:t>
      </w:r>
    </w:p>
    <w:p>
      <w:pPr>
        <w:widowControl/>
        <w:spacing w:before="240" w:after="240"/>
        <w:ind w:firstLine="960" w:firstLineChars="400"/>
        <w:jc w:val="left"/>
        <w:rPr>
          <w:rFonts w:ascii="宋体" w:hAnsi="宋体" w:eastAsia="宋体" w:cs="宋体"/>
          <w:kern w:val="0"/>
          <w:sz w:val="24"/>
          <w:szCs w:val="24"/>
        </w:rPr>
      </w:pPr>
      <w:r>
        <w:rPr>
          <w:rFonts w:hint="eastAsia" w:ascii="宋体" w:hAnsi="宋体" w:eastAsia="宋体" w:cs="宋体"/>
          <w:kern w:val="0"/>
          <w:sz w:val="24"/>
          <w:szCs w:val="24"/>
        </w:rPr>
        <w:t>本单位对决算及绩效信息公开工作及主管部门对所属单位按规定批复决算的各项工作按规定认真执行，该填制及时填制，该公开及时公开，该上报及时上报。</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（三）对部门决算管理工作的意见和建议。</w:t>
      </w:r>
    </w:p>
    <w:p>
      <w:pPr>
        <w:widowControl/>
        <w:pBdr>
          <w:left w:val="none" w:color="auto" w:sz="0" w:space="30"/>
        </w:pBdr>
        <w:spacing w:before="240" w:after="240"/>
        <w:ind w:left="600"/>
        <w:jc w:val="left"/>
        <w:rPr>
          <w:rFonts w:ascii="宋体" w:hAnsi="宋体" w:eastAsia="宋体" w:cs="宋体"/>
          <w:kern w:val="0"/>
          <w:sz w:val="24"/>
          <w:szCs w:val="24"/>
        </w:rPr>
      </w:pPr>
      <w:r>
        <w:rPr>
          <w:rFonts w:ascii="Times New Roman" w:hAnsi="Times New Roman" w:eastAsia="Times New Roman" w:cs="Times New Roman"/>
          <w:kern w:val="0"/>
          <w:sz w:val="24"/>
          <w:szCs w:val="24"/>
        </w:rPr>
        <w:t>  1.</w:t>
      </w:r>
      <w:r>
        <w:rPr>
          <w:rFonts w:ascii="宋体" w:hAnsi="宋体" w:eastAsia="宋体" w:cs="宋体"/>
          <w:kern w:val="0"/>
          <w:sz w:val="24"/>
          <w:szCs w:val="24"/>
        </w:rPr>
        <w:t>自行增加的审核公式和模板，请说明设置依据。</w:t>
      </w:r>
    </w:p>
    <w:p>
      <w:pPr>
        <w:widowControl/>
        <w:pBdr>
          <w:left w:val="none" w:color="auto" w:sz="0" w:space="30"/>
        </w:pBdr>
        <w:spacing w:before="240" w:after="240"/>
        <w:ind w:firstLine="960" w:firstLineChars="4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未自行增加审核公式和模板</w:t>
      </w:r>
      <w:r>
        <w:rPr>
          <w:rFonts w:hint="eastAsia" w:ascii="宋体" w:hAnsi="宋体" w:eastAsia="宋体" w:cs="宋体"/>
          <w:kern w:val="0"/>
          <w:sz w:val="24"/>
          <w:szCs w:val="24"/>
          <w:lang w:eastAsia="zh-CN"/>
        </w:rPr>
        <w:t>。</w:t>
      </w:r>
    </w:p>
    <w:p>
      <w:pPr>
        <w:widowControl/>
        <w:pBdr>
          <w:left w:val="none" w:color="auto" w:sz="0" w:space="30"/>
        </w:pBdr>
        <w:spacing w:before="240" w:after="240"/>
        <w:ind w:left="600"/>
        <w:jc w:val="left"/>
        <w:rPr>
          <w:rFonts w:hint="eastAsia" w:ascii="Times New Roman" w:hAnsi="Times New Roman" w:eastAsia="宋体" w:cs="Times New Roman"/>
          <w:kern w:val="0"/>
          <w:sz w:val="24"/>
          <w:szCs w:val="24"/>
          <w:lang w:val="en-US" w:eastAsia="zh-CN"/>
        </w:rPr>
      </w:pPr>
      <w:r>
        <w:rPr>
          <w:rFonts w:ascii="Times New Roman" w:hAnsi="Times New Roman" w:eastAsia="Times New Roman" w:cs="Times New Roman"/>
          <w:kern w:val="0"/>
          <w:sz w:val="24"/>
          <w:szCs w:val="24"/>
        </w:rPr>
        <w:t>  2.</w:t>
      </w:r>
      <w:r>
        <w:rPr>
          <w:rFonts w:ascii="宋体" w:hAnsi="宋体" w:eastAsia="宋体" w:cs="宋体"/>
          <w:kern w:val="0"/>
          <w:sz w:val="24"/>
          <w:szCs w:val="24"/>
        </w:rPr>
        <w:t>对部门决算报表修订设计的意见和建议，包括表样、指标设置、软件、审核公式、模板和编审问答等，请列出并说明修改意见。</w:t>
      </w:r>
      <w:r>
        <w:rPr>
          <w:rFonts w:hint="eastAsia" w:ascii="宋体" w:hAnsi="宋体" w:eastAsia="宋体" w:cs="宋体"/>
          <w:kern w:val="0"/>
          <w:sz w:val="24"/>
          <w:szCs w:val="24"/>
          <w:lang w:val="en-US" w:eastAsia="zh-CN"/>
        </w:rPr>
        <w:t>无</w:t>
      </w:r>
    </w:p>
    <w:p>
      <w:pPr>
        <w:widowControl/>
        <w:pBdr>
          <w:left w:val="none" w:color="auto" w:sz="0" w:space="30"/>
        </w:pBdr>
        <w:spacing w:before="240" w:after="240"/>
        <w:ind w:left="600"/>
        <w:jc w:val="left"/>
        <w:rPr>
          <w:rFonts w:hint="default" w:ascii="Times New Roman" w:hAnsi="Times New Roman" w:eastAsia="宋体" w:cs="Times New Roman"/>
          <w:kern w:val="0"/>
          <w:sz w:val="24"/>
          <w:szCs w:val="24"/>
          <w:lang w:val="en-US" w:eastAsia="zh-CN"/>
        </w:rPr>
      </w:pPr>
      <w:r>
        <w:rPr>
          <w:rFonts w:ascii="Times New Roman" w:hAnsi="Times New Roman" w:eastAsia="Times New Roman" w:cs="Times New Roman"/>
          <w:kern w:val="0"/>
          <w:sz w:val="24"/>
          <w:szCs w:val="24"/>
        </w:rPr>
        <w:t>  3.</w:t>
      </w:r>
      <w:r>
        <w:rPr>
          <w:rFonts w:ascii="宋体" w:hAnsi="宋体" w:eastAsia="宋体" w:cs="宋体"/>
          <w:kern w:val="0"/>
          <w:sz w:val="24"/>
          <w:szCs w:val="24"/>
        </w:rPr>
        <w:t>对部门决算其他管理工作的建议。例如对加强部门决算数据分析利用工作、部门决算信息化建设等建议。</w:t>
      </w:r>
      <w:r>
        <w:rPr>
          <w:rFonts w:hint="eastAsia" w:ascii="宋体" w:hAnsi="宋体" w:eastAsia="宋体" w:cs="宋体"/>
          <w:kern w:val="0"/>
          <w:sz w:val="24"/>
          <w:szCs w:val="24"/>
          <w:lang w:val="en-US" w:eastAsia="zh-CN"/>
        </w:rPr>
        <w:t xml:space="preserve"> 无</w:t>
      </w: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p>
      <w:pPr>
        <w:widowControl/>
        <w:spacing w:before="240" w:after="240"/>
        <w:jc w:val="left"/>
        <w:rPr>
          <w:rFonts w:ascii="Times New Roman" w:hAnsi="Times New Roman" w:eastAsia="Times New Roman" w:cs="Times New Roman"/>
          <w:kern w:val="0"/>
          <w:sz w:val="24"/>
          <w:szCs w:val="24"/>
        </w:rPr>
      </w:pPr>
    </w:p>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w:t>
    </w:r>
    <w:r>
      <w:rPr>
        <w:rFonts w:ascii="宋体" w:hAnsi="宋体" w:eastAsia="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38995"/>
    <w:multiLevelType w:val="singleLevel"/>
    <w:tmpl w:val="B3D38995"/>
    <w:lvl w:ilvl="0" w:tentative="0">
      <w:start w:val="2"/>
      <w:numFmt w:val="chineseCounting"/>
      <w:suff w:val="nothing"/>
      <w:lvlText w:val="（%1）"/>
      <w:lvlJc w:val="left"/>
      <w:pPr>
        <w:ind w:left="7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2NGE5M2UzNGQyMzU3YWVmMWVjMjJiMzk4ZWQ1YmUifQ=="/>
  </w:docVars>
  <w:rsids>
    <w:rsidRoot w:val="002C0BEC"/>
    <w:rsid w:val="002C0BEC"/>
    <w:rsid w:val="002D05C0"/>
    <w:rsid w:val="00BC487B"/>
    <w:rsid w:val="03F811AF"/>
    <w:rsid w:val="0A676E74"/>
    <w:rsid w:val="0B064CF2"/>
    <w:rsid w:val="18A63E67"/>
    <w:rsid w:val="1B9E5B3C"/>
    <w:rsid w:val="1DE10E15"/>
    <w:rsid w:val="21C06A96"/>
    <w:rsid w:val="24CF0698"/>
    <w:rsid w:val="28BD0FF2"/>
    <w:rsid w:val="31876987"/>
    <w:rsid w:val="33F06EF9"/>
    <w:rsid w:val="378D1E6A"/>
    <w:rsid w:val="48A8419C"/>
    <w:rsid w:val="4E95295F"/>
    <w:rsid w:val="62914FD3"/>
    <w:rsid w:val="752F51F9"/>
    <w:rsid w:val="77AE6533"/>
    <w:rsid w:val="7894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3"/>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4"/>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15"/>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next w:val="7"/>
    <w:qFormat/>
    <w:uiPriority w:val="99"/>
    <w:pPr>
      <w:ind w:left="420" w:leftChars="200"/>
    </w:pPr>
    <w:rPr>
      <w:kern w:val="0"/>
      <w:sz w:val="20"/>
    </w:rPr>
  </w:style>
  <w:style w:type="paragraph" w:styleId="7">
    <w:name w:val="toc 2"/>
    <w:basedOn w:val="1"/>
    <w:next w:val="1"/>
    <w:qFormat/>
    <w:uiPriority w:val="0"/>
    <w:pPr>
      <w:ind w:left="420"/>
      <w:jc w:val="center"/>
    </w:pPr>
    <w:rPr>
      <w:rFonts w:ascii="黑体" w:eastAsia="黑体"/>
      <w:szCs w:val="32"/>
    </w:rPr>
  </w:style>
  <w:style w:type="paragraph" w:styleId="8">
    <w:name w:val="Normal (Web)"/>
    <w:basedOn w:val="1"/>
    <w:qFormat/>
    <w:uiPriority w:val="0"/>
    <w:pPr>
      <w:spacing w:beforeAutospacing="1" w:afterAutospacing="1"/>
      <w:jc w:val="left"/>
    </w:pPr>
    <w:rPr>
      <w:kern w:val="0"/>
      <w:sz w:val="24"/>
    </w:rPr>
  </w:style>
  <w:style w:type="paragraph" w:styleId="9">
    <w:name w:val="Title"/>
    <w:basedOn w:val="1"/>
    <w:next w:val="6"/>
    <w:qFormat/>
    <w:uiPriority w:val="99"/>
    <w:pPr>
      <w:ind w:left="640" w:leftChars="200"/>
      <w:outlineLvl w:val="0"/>
    </w:pPr>
    <w:rPr>
      <w:rFonts w:ascii="Arial" w:hAnsi="Arial" w:eastAsia="仿宋_GB2312"/>
      <w:b/>
      <w:kern w:val="0"/>
      <w:sz w:val="32"/>
    </w:rPr>
  </w:style>
  <w:style w:type="character" w:customStyle="1" w:styleId="12">
    <w:name w:val="Heading 1 Char"/>
    <w:basedOn w:val="11"/>
    <w:link w:val="2"/>
    <w:qFormat/>
    <w:uiPriority w:val="9"/>
    <w:rPr>
      <w:rFonts w:asciiTheme="majorHAnsi" w:hAnsiTheme="majorHAnsi" w:eastAsiaTheme="majorEastAsia" w:cstheme="majorBidi"/>
      <w:color w:val="2F5597" w:themeColor="accent1" w:themeShade="BF"/>
      <w:sz w:val="32"/>
      <w:szCs w:val="32"/>
    </w:rPr>
  </w:style>
  <w:style w:type="character" w:customStyle="1" w:styleId="13">
    <w:name w:val="Heading 2 Char"/>
    <w:basedOn w:val="11"/>
    <w:link w:val="3"/>
    <w:qFormat/>
    <w:uiPriority w:val="9"/>
    <w:rPr>
      <w:rFonts w:asciiTheme="majorHAnsi" w:hAnsiTheme="majorHAnsi" w:eastAsiaTheme="majorEastAsia" w:cstheme="majorBidi"/>
      <w:color w:val="2F5597" w:themeColor="accent1" w:themeShade="BF"/>
      <w:sz w:val="26"/>
      <w:szCs w:val="26"/>
    </w:rPr>
  </w:style>
  <w:style w:type="character" w:customStyle="1" w:styleId="14">
    <w:name w:val="Heading 3 Char"/>
    <w:basedOn w:val="11"/>
    <w:link w:val="4"/>
    <w:qFormat/>
    <w:uiPriority w:val="9"/>
    <w:rPr>
      <w:rFonts w:asciiTheme="majorHAnsi" w:hAnsiTheme="majorHAnsi" w:eastAsiaTheme="majorEastAsia" w:cstheme="majorBidi"/>
      <w:color w:val="203864" w:themeColor="accent1" w:themeShade="80"/>
      <w:sz w:val="24"/>
      <w:szCs w:val="24"/>
    </w:rPr>
  </w:style>
  <w:style w:type="character" w:customStyle="1" w:styleId="15">
    <w:name w:val="Heading 4 Char"/>
    <w:basedOn w:val="11"/>
    <w:link w:val="5"/>
    <w:qFormat/>
    <w:uiPriority w:val="9"/>
    <w:rPr>
      <w:rFonts w:asciiTheme="majorHAnsi" w:hAnsiTheme="majorHAnsi" w:eastAsiaTheme="majorEastAsia" w:cstheme="majorBidi"/>
      <w:i/>
      <w:iCs/>
      <w:color w:val="2F5597" w:themeColor="accent1" w:themeShade="BF"/>
    </w:rPr>
  </w:style>
  <w:style w:type="character" w:customStyle="1" w:styleId="16">
    <w:name w:val="font31"/>
    <w:basedOn w:val="11"/>
    <w:uiPriority w:val="0"/>
    <w:rPr>
      <w:rFonts w:hint="eastAsia" w:ascii="宋体" w:hAnsi="宋体" w:eastAsia="宋体" w:cs="宋体"/>
      <w:color w:val="000000"/>
      <w:sz w:val="24"/>
      <w:szCs w:val="24"/>
      <w:u w:val="none"/>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H:\&#32418;&#2025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32418;&#2025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32418;&#2025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年初预算数</a:t>
            </a:r>
          </a:p>
        </c:rich>
      </c:tx>
      <c:layout/>
      <c:overlay val="0"/>
      <c:spPr>
        <a:noFill/>
        <a:ln>
          <a:noFill/>
        </a:ln>
        <a:effectLst/>
      </c:spPr>
    </c:title>
    <c:autoTitleDeleted val="0"/>
    <c:plotArea>
      <c:layout/>
      <c:barChart>
        <c:barDir val="col"/>
        <c:grouping val="clustered"/>
        <c:varyColors val="0"/>
        <c:ser>
          <c:idx val="0"/>
          <c:order val="0"/>
          <c:tx>
            <c:strRef>
              <c:f>[图表模板.xlsx]上下年对比!$G$4</c:f>
              <c:strCache>
                <c:ptCount val="1"/>
                <c:pt idx="0">
                  <c:v>本年收入合计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[图表模板.xlsx]上下年对比!$H$3:$I$3</c:f>
              <c:strCache>
                <c:ptCount val="2"/>
                <c:pt idx="0">
                  <c:v>本年度</c:v>
                </c:pt>
                <c:pt idx="1">
                  <c:v>上年度</c:v>
                </c:pt>
              </c:strCache>
            </c:strRef>
          </c:cat>
          <c:val>
            <c:numRef>
              <c:f>[图表模板.xlsx]上下年对比!$H$4:$I$4</c:f>
              <c:numCache>
                <c:formatCode>#,##0.00_ </c:formatCode>
                <c:ptCount val="2"/>
                <c:pt idx="0">
                  <c:v>86.506013</c:v>
                </c:pt>
                <c:pt idx="1">
                  <c:v>71.671712</c:v>
                </c:pt>
              </c:numCache>
            </c:numRef>
          </c:val>
        </c:ser>
        <c:ser>
          <c:idx val="1"/>
          <c:order val="1"/>
          <c:tx>
            <c:strRef>
              <c:f>[图表模板.xlsx]上下年对比!$G$5</c:f>
              <c:strCache>
                <c:ptCount val="1"/>
                <c:pt idx="0">
                  <c:v>本年支出合计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exp"/>
            <c:dispRSqr val="0"/>
            <c:dispEq val="0"/>
          </c:trendline>
          <c:trendline>
            <c:spPr>
              <a:ln w="19050" cap="rnd">
                <a:solidFill>
                  <a:schemeClr val="accent2"/>
                </a:solidFill>
                <a:prstDash val="sysDot"/>
              </a:ln>
              <a:effectLst/>
            </c:spPr>
            <c:trendlineType val="linear"/>
            <c:dispRSqr val="0"/>
            <c:dispEq val="0"/>
          </c:trendline>
          <c:cat>
            <c:strRef>
              <c:f>[图表模板.xlsx]上下年对比!$H$3:$I$3</c:f>
              <c:strCache>
                <c:ptCount val="2"/>
                <c:pt idx="0">
                  <c:v>本年度</c:v>
                </c:pt>
                <c:pt idx="1">
                  <c:v>上年度</c:v>
                </c:pt>
              </c:strCache>
            </c:strRef>
          </c:cat>
          <c:val>
            <c:numRef>
              <c:f>[图表模板.xlsx]上下年对比!$H$5:$I$5</c:f>
              <c:numCache>
                <c:formatCode>#,##0.00_ </c:formatCode>
                <c:ptCount val="2"/>
                <c:pt idx="0">
                  <c:v>87.316013</c:v>
                </c:pt>
                <c:pt idx="1">
                  <c:v>71.671712</c:v>
                </c:pt>
              </c:numCache>
            </c:numRef>
          </c:val>
        </c:ser>
        <c:dLbls>
          <c:showLegendKey val="0"/>
          <c:showVal val="1"/>
          <c:showCatName val="0"/>
          <c:showSerName val="0"/>
          <c:showPercent val="0"/>
          <c:showBubbleSize val="0"/>
        </c:dLbls>
        <c:gapWidth val="246"/>
        <c:overlap val="-28"/>
        <c:axId val="185204667"/>
        <c:axId val="499904083"/>
      </c:barChart>
      <c:catAx>
        <c:axId val="1852046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904083"/>
        <c:crosses val="autoZero"/>
        <c:auto val="1"/>
        <c:lblAlgn val="ctr"/>
        <c:lblOffset val="100"/>
        <c:noMultiLvlLbl val="0"/>
      </c:catAx>
      <c:valAx>
        <c:axId val="499904083"/>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204667"/>
        <c:crosses val="autoZero"/>
        <c:crossBetween val="between"/>
      </c:valAx>
      <c:spPr>
        <a:noFill/>
        <a:ln>
          <a:noFill/>
        </a:ln>
        <a:effectLst/>
      </c:spPr>
    </c:plotArea>
    <c:legend>
      <c:legendPos val="b"/>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[图表模板.xlsx]收入结构!$A$3</c:f>
              <c:strCache>
                <c:ptCount val="1"/>
                <c:pt idx="0">
                  <c:v>收入结构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0138762252554398"/>
                  <c:y val="0.1228289251281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[图表模板.xlsx]收入结构!$B$2:$F$2</c:f>
              <c:strCache>
                <c:ptCount val="5"/>
                <c:pt idx="0">
                  <c:v>财政拨款收入</c:v>
                </c:pt>
                <c:pt idx="1">
                  <c:v>政府性基金预算财政拨款收入</c:v>
                </c:pt>
                <c:pt idx="2">
                  <c:v>事业收入</c:v>
                </c:pt>
                <c:pt idx="3">
                  <c:v>经营收入</c:v>
                </c:pt>
                <c:pt idx="4">
                  <c:v>其他收入</c:v>
                </c:pt>
              </c:strCache>
            </c:strRef>
          </c:cat>
          <c:val>
            <c:numRef>
              <c:f>[图表模板.xlsx]收入结构!$B$3:$F$3</c:f>
              <c:numCache>
                <c:formatCode>0.00</c:formatCode>
                <c:ptCount val="5"/>
                <c:pt idx="0">
                  <c:v>835145.2</c:v>
                </c:pt>
                <c:pt idx="3" c:formatCode="General">
                  <c:v>0</c:v>
                </c:pt>
                <c:pt idx="4" c:formatCode="#,##0.00">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[图表模板.xlsx]支出结构!$A$3</c:f>
              <c:strCache>
                <c:ptCount val="1"/>
                <c:pt idx="0">
                  <c:v>支出结构</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dPt>
          <c:dLbls>
            <c:dLbl>
              <c:idx val="2"/>
              <c:layout>
                <c:manualLayout>
                  <c:x val="-0.130555555555556"/>
                  <c:y val="0.09829615048118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a:outerShdw dir="4200000" sx="56000" sy="56000" algn="ctr" rotWithShape="0">
                  <a:srgbClr val="000000">
                    <a:alpha val="43137"/>
                  </a:srgbClr>
                </a:outerShdw>
                <a:softEdge rad="12700"/>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[图表模板.xlsx]支出结构!$B$2:$D$2</c:f>
              <c:strCache>
                <c:ptCount val="3"/>
                <c:pt idx="0">
                  <c:v>基本支出</c:v>
                </c:pt>
                <c:pt idx="1">
                  <c:v>项目支出</c:v>
                </c:pt>
                <c:pt idx="2">
                  <c:v>经营支出</c:v>
                </c:pt>
              </c:strCache>
            </c:strRef>
          </c:cat>
          <c:val>
            <c:numRef>
              <c:f>[图表模板.xlsx]支出结构!$B$3:$D$3</c:f>
              <c:numCache>
                <c:formatCode>0.00</c:formatCode>
                <c:ptCount val="3"/>
                <c:pt idx="0">
                  <c:v>823511.95</c:v>
                </c:pt>
                <c:pt idx="1">
                  <c:v>11633.25</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0.0506501677852349</cdr:x>
      <cdr:y>0.0205479452054795</cdr:y>
    </cdr:from>
    <cdr:to>
      <cdr:x>0.200188758389262</cdr:x>
      <cdr:y>0.0952054794520548</cdr:y>
    </cdr:to>
    <cdr:sp>
      <cdr:nvSpPr>
        <cdr:cNvPr id="2" name="矩形 1"/>
        <cdr:cNvSpPr/>
      </cdr:nvSpPr>
      <cdr:spPr xmlns:a="http://schemas.openxmlformats.org/drawingml/2006/main">
        <a:xfrm xmlns:a="http://schemas.openxmlformats.org/drawingml/2006/main">
          <a:off x="306705" y="57150"/>
          <a:ext cx="905510" cy="20764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2023-11-08T06:42:00Z</dcterms:created>
  <dc:creator>jlw</dc:creator>
  <cp:lastModifiedBy>Great   Artists</cp:lastModifiedBy>
  <dcterms:modified xsi:type="dcterms:W3CDTF">2024-02-02T10:24:40Z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4929855E937049929CF7B19BD86FA378_12</vt:lpwstr>
  </property>
</Properties>
</file>